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495850">
      <w:pPr>
        <w:pStyle w:val="4"/>
        <w:ind w:left="0" w:leftChars="0" w:firstLine="0" w:firstLineChars="0"/>
        <w:rPr>
          <w:rFonts w:hint="eastAsia"/>
        </w:rPr>
      </w:pPr>
    </w:p>
    <w:p w14:paraId="58AAA848">
      <w:pPr>
        <w:keepNext w:val="0"/>
        <w:keepLines w:val="0"/>
        <w:pageBreakBefore w:val="0"/>
        <w:widowControl w:val="0"/>
        <w:kinsoku/>
        <w:wordWrap/>
        <w:overflowPunct/>
        <w:topLinePunct w:val="0"/>
        <w:autoSpaceDE/>
        <w:autoSpaceDN/>
        <w:bidi w:val="0"/>
        <w:adjustRightInd w:val="0"/>
        <w:snapToGrid w:val="0"/>
        <w:spacing w:line="520" w:lineRule="atLeast"/>
        <w:ind w:firstLine="1760" w:firstLineChars="400"/>
        <w:jc w:val="both"/>
        <w:textAlignment w:val="auto"/>
        <w:rPr>
          <w:rFonts w:hint="eastAsia" w:ascii="黑体" w:hAnsi="黑体" w:eastAsia="黑体" w:cs="宋体"/>
          <w:b w:val="0"/>
          <w:bCs/>
          <w:color w:val="000000"/>
          <w:kern w:val="0"/>
          <w:sz w:val="32"/>
          <w:szCs w:val="32"/>
          <w:lang w:eastAsia="zh-CN"/>
        </w:rPr>
      </w:pPr>
      <w:r>
        <w:rPr>
          <w:rFonts w:hint="eastAsia" w:ascii="方正小标宋简体" w:hAnsi="方正小标宋简体" w:eastAsia="方正小标宋简体" w:cs="方正小标宋简体"/>
          <w:color w:val="auto"/>
          <w:sz w:val="44"/>
          <w:szCs w:val="44"/>
          <w:lang w:val="en-US" w:eastAsia="zh-CN"/>
        </w:rPr>
        <w:t xml:space="preserve"> </w:t>
      </w:r>
      <w:r>
        <w:rPr>
          <w:rFonts w:hint="eastAsia" w:ascii="方正小标宋简体" w:hAnsi="方正小标宋简体" w:eastAsia="方正小标宋简体" w:cs="方正小标宋简体"/>
          <w:b w:val="0"/>
          <w:bCs w:val="0"/>
          <w:sz w:val="44"/>
          <w:szCs w:val="44"/>
          <w:lang w:val="en-US" w:eastAsia="zh-CN"/>
        </w:rPr>
        <w:t>张掖书画院（张掖市美术馆）</w:t>
      </w:r>
    </w:p>
    <w:p w14:paraId="70DCB9CE">
      <w:pPr>
        <w:pStyle w:val="3"/>
        <w:adjustRightInd w:val="0"/>
        <w:snapToGrid w:val="0"/>
        <w:spacing w:before="0" w:after="0" w:line="600" w:lineRule="exact"/>
        <w:jc w:val="center"/>
        <w:rPr>
          <w:rFonts w:hint="eastAsia" w:ascii="方正小标宋简体" w:hAnsi="Times New Roman" w:eastAsia="方正小标宋简体"/>
          <w:b w:val="0"/>
          <w:sz w:val="44"/>
          <w:szCs w:val="44"/>
        </w:rPr>
      </w:pPr>
      <w:r>
        <w:rPr>
          <w:rFonts w:hint="eastAsia" w:ascii="方正小标宋简体" w:hAnsi="Times New Roman" w:eastAsia="方正小标宋简体"/>
          <w:b w:val="0"/>
          <w:sz w:val="44"/>
          <w:szCs w:val="44"/>
          <w:lang w:val="en-US" w:eastAsia="zh-CN"/>
        </w:rPr>
        <w:t>2024年</w:t>
      </w:r>
      <w:r>
        <w:rPr>
          <w:rFonts w:hint="eastAsia" w:ascii="方正小标宋简体" w:hAnsi="Times New Roman" w:eastAsia="方正小标宋简体"/>
          <w:b w:val="0"/>
          <w:sz w:val="44"/>
          <w:szCs w:val="44"/>
          <w:lang w:eastAsia="zh-CN"/>
        </w:rPr>
        <w:t>部门整体</w:t>
      </w:r>
      <w:r>
        <w:rPr>
          <w:rFonts w:hint="eastAsia" w:ascii="方正小标宋简体" w:hAnsi="Times New Roman" w:eastAsia="方正小标宋简体"/>
          <w:b w:val="0"/>
          <w:sz w:val="44"/>
          <w:szCs w:val="44"/>
        </w:rPr>
        <w:t>支出绩效评价自评报告</w:t>
      </w:r>
    </w:p>
    <w:p w14:paraId="524C272C">
      <w:pPr>
        <w:widowControl/>
        <w:tabs>
          <w:tab w:val="left" w:pos="2880"/>
        </w:tabs>
        <w:spacing w:line="600" w:lineRule="exact"/>
        <w:rPr>
          <w:rFonts w:hint="eastAsia" w:ascii="黑体" w:hAnsi="黑体" w:eastAsia="黑体" w:cs="宋体"/>
          <w:b/>
          <w:color w:val="000000"/>
          <w:kern w:val="0"/>
          <w:sz w:val="48"/>
          <w:szCs w:val="48"/>
        </w:rPr>
      </w:pPr>
    </w:p>
    <w:p w14:paraId="623296AB">
      <w:pPr>
        <w:widowControl/>
        <w:tabs>
          <w:tab w:val="left" w:pos="2880"/>
        </w:tabs>
        <w:spacing w:line="600" w:lineRule="exact"/>
        <w:ind w:firstLine="645"/>
        <w:rPr>
          <w:rFonts w:hint="eastAsia" w:ascii="黑体" w:hAnsi="黑体" w:eastAsia="黑体"/>
          <w:sz w:val="32"/>
          <w:szCs w:val="32"/>
        </w:rPr>
      </w:pPr>
      <w:r>
        <w:rPr>
          <w:rFonts w:hint="eastAsia" w:ascii="黑体" w:hAnsi="黑体" w:eastAsia="黑体"/>
          <w:sz w:val="32"/>
          <w:szCs w:val="32"/>
        </w:rPr>
        <w:t>一、部门概况</w:t>
      </w:r>
    </w:p>
    <w:p w14:paraId="06799690">
      <w:pPr>
        <w:widowControl/>
        <w:tabs>
          <w:tab w:val="left" w:pos="2880"/>
        </w:tabs>
        <w:spacing w:line="600" w:lineRule="exact"/>
        <w:ind w:firstLine="645"/>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（一）基本情况</w:t>
      </w:r>
    </w:p>
    <w:p w14:paraId="707D1133">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rPr>
          <w:rFonts w:hint="eastAsia" w:ascii="仿宋_GB2312" w:hAnsi="仿宋_GB2312" w:eastAsia="仿宋_GB2312" w:cs="仿宋_GB2312"/>
          <w:b/>
          <w:bCs/>
          <w:color w:val="000000"/>
          <w:sz w:val="32"/>
          <w:szCs w:val="32"/>
          <w:lang w:eastAsia="zh-Hans"/>
        </w:rPr>
      </w:pPr>
      <w:r>
        <w:rPr>
          <w:rFonts w:hint="eastAsia" w:ascii="仿宋_GB2312" w:hAnsi="仿宋_GB2312" w:eastAsia="仿宋_GB2312" w:cs="仿宋_GB2312"/>
          <w:b/>
          <w:bCs/>
          <w:color w:val="000000"/>
          <w:sz w:val="32"/>
          <w:szCs w:val="32"/>
          <w:lang w:eastAsia="zh-Hans"/>
        </w:rPr>
        <w:t>1.单位基本情况</w:t>
      </w:r>
    </w:p>
    <w:p w14:paraId="395DF658">
      <w:pPr>
        <w:widowControl/>
        <w:spacing w:line="560" w:lineRule="exact"/>
        <w:ind w:firstLine="640" w:firstLineChars="200"/>
        <w:jc w:val="both"/>
        <w:rPr>
          <w:rFonts w:hint="eastAsia" w:ascii="仿宋_GB2312" w:hAnsi="宋体" w:eastAsia="仿宋_GB2312" w:cs="FSJ-PK7482000000a-Identity-H"/>
          <w:color w:val="333333"/>
          <w:kern w:val="0"/>
          <w:sz w:val="32"/>
          <w:szCs w:val="32"/>
          <w:highlight w:val="none"/>
          <w:lang w:val="en-US" w:eastAsia="zh-CN"/>
        </w:rPr>
      </w:pPr>
      <w:r>
        <w:rPr>
          <w:rFonts w:hint="eastAsia" w:ascii="仿宋_GB2312" w:hAnsi="宋体" w:eastAsia="仿宋_GB2312" w:cs="FSJ-PK7482000000a-Identity-H"/>
          <w:color w:val="333333"/>
          <w:kern w:val="0"/>
          <w:sz w:val="32"/>
          <w:szCs w:val="32"/>
          <w:highlight w:val="none"/>
          <w:lang w:val="en-US" w:eastAsia="zh-CN"/>
        </w:rPr>
        <w:t>根据地委发[1996]12号文件，中共张掖地委、张掖地区行政公署，于1996年9月25日成立张掖地区书画院。张掖书画院是全额拨款的非参公事业单位，2010年4月经市机构编制委员会批准成立张掖市美术馆，2014年6月张掖市机构编制委员会关于市美术馆等机构编制问题的通知（张机编[2014]9号）将市书画院加挂市美术馆牌子，新增财政拨款事业编制2名，科级干部职数1名（市美术馆馆长），核定人员编制9名。核定县级领导职数（院长）1名，科级领导职数3名。2010年10月经市编办研究成立了办公室、创作室2个内设机构均为科级建制，核定内设机构科级干部职数2名。截止目前张掖书画院（张掖市美术馆）最终核定事业编制为9人。</w:t>
      </w:r>
    </w:p>
    <w:p w14:paraId="0558571C">
      <w:pPr>
        <w:widowControl/>
        <w:spacing w:line="560" w:lineRule="exact"/>
        <w:ind w:firstLine="640" w:firstLineChars="200"/>
        <w:jc w:val="both"/>
        <w:rPr>
          <w:rFonts w:hint="eastAsia" w:ascii="仿宋_GB2312" w:hAnsi="宋体" w:eastAsia="仿宋_GB2312" w:cs="FSJ-PK7482000000a-Identity-H"/>
          <w:color w:val="333333"/>
          <w:kern w:val="0"/>
          <w:sz w:val="32"/>
          <w:szCs w:val="32"/>
          <w:highlight w:val="none"/>
          <w:lang w:val="en-US" w:eastAsia="zh-CN"/>
        </w:rPr>
      </w:pPr>
      <w:r>
        <w:rPr>
          <w:rFonts w:hint="eastAsia" w:ascii="仿宋_GB2312" w:hAnsi="宋体" w:eastAsia="仿宋_GB2312" w:cs="FSJ-PK7482000000a-Identity-H"/>
          <w:color w:val="333333"/>
          <w:kern w:val="0"/>
          <w:sz w:val="32"/>
          <w:szCs w:val="32"/>
          <w:highlight w:val="none"/>
          <w:lang w:val="en-US" w:eastAsia="zh-CN"/>
        </w:rPr>
        <w:t>截止目前，张掖书画院（张掖市美术馆）现有正式编制9人，其中有艺术系列正高级职称2人，艺术系列副高级职称4人，艺术系列中级职称2人，艺术系列初级职称1人。法定代表人：陈冈。</w:t>
      </w:r>
    </w:p>
    <w:p w14:paraId="19249050">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rPr>
          <w:rFonts w:hint="eastAsia" w:ascii="仿宋_GB2312" w:hAnsi="仿宋_GB2312" w:eastAsia="仿宋_GB2312" w:cs="仿宋_GB2312"/>
          <w:b/>
          <w:bCs/>
          <w:color w:val="000000"/>
          <w:sz w:val="32"/>
          <w:szCs w:val="32"/>
          <w:lang w:eastAsia="zh-Hans"/>
        </w:rPr>
      </w:pPr>
      <w:r>
        <w:rPr>
          <w:rFonts w:hint="eastAsia" w:ascii="仿宋_GB2312" w:hAnsi="仿宋_GB2312" w:eastAsia="仿宋_GB2312" w:cs="仿宋_GB2312"/>
          <w:b/>
          <w:bCs/>
          <w:color w:val="000000"/>
          <w:sz w:val="32"/>
          <w:szCs w:val="32"/>
          <w:lang w:eastAsia="zh-Hans"/>
        </w:rPr>
        <w:t>2.单位职能职责</w:t>
      </w:r>
    </w:p>
    <w:p w14:paraId="3B39B15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张掖书画院（张掖市美术馆）是财政全额拨款的一类一级公共文化事业单位，享受中央补助地方美术馆、公共图书馆、文化馆(站)免费开放专项资金。张掖书画院（张掖市美术馆）是全市美术创作、培训、交流、展览的中心。弘扬中国传统文化，普及书画艺术，提高书画爱好者的艺术水平，更好地满足群众对文化生活的需求，全体工作人员努力为促进张掖美术事业繁荣发展做</w:t>
      </w:r>
    </w:p>
    <w:p w14:paraId="019173C1">
      <w:pPr>
        <w:keepNext w:val="0"/>
        <w:keepLines w:val="0"/>
        <w:pageBreakBefore w:val="0"/>
        <w:widowControl w:val="0"/>
        <w:kinsoku/>
        <w:wordWrap/>
        <w:overflowPunct/>
        <w:topLinePunct w:val="0"/>
        <w:autoSpaceDE/>
        <w:autoSpaceDN/>
        <w:bidi w:val="0"/>
        <w:adjustRightInd w:val="0"/>
        <w:snapToGrid w:val="0"/>
        <w:spacing w:line="600" w:lineRule="exact"/>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出积极贡献。</w:t>
      </w:r>
    </w:p>
    <w:p w14:paraId="2E548E41">
      <w:pPr>
        <w:widowControl/>
        <w:numPr>
          <w:ilvl w:val="0"/>
          <w:numId w:val="1"/>
        </w:numPr>
        <w:tabs>
          <w:tab w:val="left" w:pos="2880"/>
        </w:tabs>
        <w:spacing w:line="600" w:lineRule="exact"/>
        <w:ind w:firstLine="645"/>
        <w:rPr>
          <w:rFonts w:hint="eastAsia"/>
          <w:b/>
          <w:bCs w:val="0"/>
          <w:sz w:val="32"/>
          <w:szCs w:val="32"/>
          <w:lang w:val="en-US" w:eastAsia="zh-CN"/>
        </w:rPr>
      </w:pPr>
      <w:r>
        <w:rPr>
          <w:rFonts w:hint="eastAsia" w:ascii="楷体_GB2312" w:hAnsi="楷体_GB2312" w:eastAsia="楷体_GB2312" w:cs="楷体_GB2312"/>
          <w:b/>
          <w:bCs w:val="0"/>
          <w:sz w:val="32"/>
          <w:szCs w:val="32"/>
        </w:rPr>
        <w:t>年度重点工作</w:t>
      </w:r>
      <w:bookmarkStart w:id="0" w:name="（三）部门整体收支情况"/>
      <w:bookmarkEnd w:id="0"/>
    </w:p>
    <w:p w14:paraId="19FEC8D9">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1.落实党建责任，加强自身建设。</w:t>
      </w:r>
    </w:p>
    <w:p w14:paraId="338EFC1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rPr>
          <w:rFonts w:hint="eastAsia" w:ascii="仿宋_GB2312" w:hAnsi="仿宋_GB2312" w:eastAsia="仿宋_GB2312" w:cs="仿宋_GB2312"/>
          <w:color w:val="000000"/>
          <w:sz w:val="32"/>
          <w:szCs w:val="32"/>
          <w:lang w:eastAsia="zh-Hans"/>
        </w:rPr>
      </w:pPr>
      <w:r>
        <w:rPr>
          <w:rFonts w:hint="eastAsia" w:ascii="仿宋_GB2312" w:hAnsi="仿宋_GB2312" w:eastAsia="仿宋_GB2312" w:cs="仿宋_GB2312"/>
          <w:color w:val="000000"/>
          <w:sz w:val="32"/>
          <w:szCs w:val="32"/>
          <w:lang w:eastAsia="zh-Hans"/>
        </w:rPr>
        <w:t>加强党支部</w:t>
      </w:r>
      <w:r>
        <w:rPr>
          <w:rFonts w:hint="eastAsia" w:ascii="仿宋_GB2312" w:hAnsi="仿宋_GB2312" w:eastAsia="仿宋_GB2312" w:cs="仿宋_GB2312"/>
          <w:color w:val="000000"/>
          <w:sz w:val="32"/>
          <w:szCs w:val="32"/>
          <w:lang w:eastAsia="zh-CN"/>
        </w:rPr>
        <w:t>基层建设，扎实开展党建工作；</w:t>
      </w:r>
      <w:r>
        <w:rPr>
          <w:rFonts w:hint="eastAsia" w:ascii="仿宋_GB2312" w:hAnsi="仿宋_GB2312" w:eastAsia="仿宋_GB2312" w:cs="仿宋_GB2312"/>
          <w:color w:val="000000"/>
          <w:sz w:val="32"/>
          <w:szCs w:val="32"/>
          <w:lang w:eastAsia="zh-Hans"/>
        </w:rPr>
        <w:t>加强意识形态工作引导，增强党员干部政治自律</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全年</w:t>
      </w:r>
      <w:r>
        <w:rPr>
          <w:rFonts w:hint="eastAsia" w:ascii="仿宋_GB2312" w:hAnsi="仿宋_GB2312" w:eastAsia="仿宋_GB2312" w:cs="仿宋_GB2312"/>
          <w:color w:val="000000"/>
          <w:sz w:val="32"/>
          <w:szCs w:val="32"/>
          <w:lang w:eastAsia="zh-Hans"/>
        </w:rPr>
        <w:t>在工作安排上，始终坚持文艺为人民服务的宗旨，提高政治站位，增强思想自觉和行动自觉，严守政治纪律，坚决维护习近平总书记党中央的核心</w:t>
      </w:r>
      <w:r>
        <w:rPr>
          <w:rFonts w:hint="eastAsia" w:ascii="仿宋_GB2312" w:hAnsi="仿宋_GB2312" w:eastAsia="仿宋_GB2312" w:cs="仿宋_GB2312"/>
          <w:color w:val="000000"/>
          <w:sz w:val="32"/>
          <w:szCs w:val="32"/>
          <w:lang w:eastAsia="zh-CN"/>
        </w:rPr>
        <w:t>、全党的核心</w:t>
      </w:r>
      <w:r>
        <w:rPr>
          <w:rFonts w:hint="eastAsia" w:ascii="仿宋_GB2312" w:hAnsi="仿宋_GB2312" w:eastAsia="仿宋_GB2312" w:cs="仿宋_GB2312"/>
          <w:color w:val="000000"/>
          <w:sz w:val="32"/>
          <w:szCs w:val="32"/>
          <w:lang w:eastAsia="zh-Hans"/>
        </w:rPr>
        <w:t>地位，坚决维护党中央权威和集中统一领导，自觉在政治立场、政治方向、政治原则、政治道路上同以习近平同志为核心的党中央保持高度一致。</w:t>
      </w:r>
    </w:p>
    <w:p w14:paraId="0947D103">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2.基础运行资金到位。</w:t>
      </w:r>
    </w:p>
    <w:p w14:paraId="3030129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rPr>
          <w:rFonts w:hint="eastAsia" w:ascii="仿宋_GB2312" w:hAnsi="仿宋" w:eastAsia="仿宋_GB2312"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张掖市美术馆为免费开放公益一类事业单位，近三年在相关部门的协调下美术馆采暖费用由财政预算拨付，美术馆免开经费共计50万元及时拨付到</w:t>
      </w:r>
      <w:bookmarkStart w:id="5" w:name="_GoBack"/>
      <w:bookmarkEnd w:id="5"/>
      <w:r>
        <w:rPr>
          <w:rFonts w:hint="eastAsia" w:ascii="仿宋_GB2312" w:hAnsi="仿宋" w:eastAsia="仿宋_GB2312" w:cs="Times New Roman"/>
          <w:kern w:val="2"/>
          <w:sz w:val="32"/>
          <w:szCs w:val="32"/>
          <w:highlight w:val="none"/>
          <w:lang w:val="en-US" w:eastAsia="zh-CN" w:bidi="ar-SA"/>
        </w:rPr>
        <w:t>位（其中中央财政40万、省级财政5万、市级财政5万）。</w:t>
      </w:r>
    </w:p>
    <w:p w14:paraId="4F0E0155">
      <w:pPr>
        <w:pStyle w:val="10"/>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atLeast"/>
        <w:ind w:firstLine="640" w:firstLineChars="200"/>
        <w:textAlignment w:val="auto"/>
        <w:rPr>
          <w:rFonts w:hint="eastAsia" w:ascii="仿宋_GB2312" w:hAnsi="仿宋" w:eastAsia="仿宋_GB2312"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甘肃省省级公共文化服务体系建设项目（张掖市美术馆滨河新区分馆公共文化设备购置工程）该项目总额为320万元（其中2024年拨付270万、2025年拨付50万），2024年度项目资金270万元及时拨付到位（其中省级拨付250万、市级配套资金20万）。</w:t>
      </w:r>
    </w:p>
    <w:p w14:paraId="13F85B63">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rPr>
          <w:rFonts w:hint="default"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3.精心举办展览、增强交流合作、落实文化惠民。</w:t>
      </w:r>
    </w:p>
    <w:p w14:paraId="6D2A583A">
      <w:pPr>
        <w:pStyle w:val="5"/>
        <w:keepNext w:val="0"/>
        <w:keepLines w:val="0"/>
        <w:pageBreakBefore w:val="0"/>
        <w:widowControl w:val="0"/>
        <w:kinsoku/>
        <w:wordWrap/>
        <w:overflowPunct/>
        <w:topLinePunct w:val="0"/>
        <w:autoSpaceDE/>
        <w:autoSpaceDN/>
        <w:bidi w:val="0"/>
        <w:adjustRightInd w:val="0"/>
        <w:snapToGrid w:val="0"/>
        <w:spacing w:line="560" w:lineRule="atLeast"/>
        <w:ind w:left="111" w:right="125" w:firstLine="639"/>
        <w:jc w:val="both"/>
        <w:textAlignment w:val="auto"/>
        <w:rPr>
          <w:rFonts w:hint="eastAsia" w:ascii="仿宋_GB2312" w:hAnsi="仿宋" w:eastAsia="仿宋_GB2312"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精心举办展览，增强交流合作以宣传贯彻党的二十大精神为主线，注重提升展览品 牌，着力推出彰显时代特征、中国特色、张掖特质的展览项 目，获得了较好地社会反响。贴近群众，推出精品展览。2024年成功举办了展览17期，其中省级展4期，市级展览9期、省内外市级交流展4期。展出各类书画、摄影作品1000余幅书画及摄影作品，充分发挥美术馆公共文化服务职能，加强</w:t>
      </w:r>
      <w:r>
        <w:rPr>
          <w:rFonts w:hint="eastAsia" w:hAnsi="仿宋" w:cs="Times New Roman"/>
          <w:kern w:val="2"/>
          <w:sz w:val="32"/>
          <w:szCs w:val="32"/>
          <w:highlight w:val="none"/>
          <w:lang w:val="en-US" w:eastAsia="zh-CN" w:bidi="ar-SA"/>
        </w:rPr>
        <w:t>了</w:t>
      </w:r>
      <w:r>
        <w:rPr>
          <w:rFonts w:hint="eastAsia" w:ascii="仿宋_GB2312" w:hAnsi="仿宋" w:eastAsia="仿宋_GB2312" w:cs="Times New Roman"/>
          <w:kern w:val="2"/>
          <w:sz w:val="32"/>
          <w:szCs w:val="32"/>
          <w:highlight w:val="none"/>
          <w:lang w:val="en-US" w:eastAsia="zh-CN" w:bidi="ar-SA"/>
        </w:rPr>
        <w:t>对外交流，向全市人民献上</w:t>
      </w:r>
      <w:r>
        <w:rPr>
          <w:rFonts w:hint="eastAsia" w:hAnsi="仿宋" w:cs="Times New Roman"/>
          <w:kern w:val="2"/>
          <w:sz w:val="32"/>
          <w:szCs w:val="32"/>
          <w:highlight w:val="none"/>
          <w:lang w:val="en-US" w:eastAsia="zh-CN" w:bidi="ar-SA"/>
        </w:rPr>
        <w:t>了</w:t>
      </w:r>
      <w:r>
        <w:rPr>
          <w:rFonts w:hint="eastAsia" w:ascii="仿宋_GB2312" w:hAnsi="仿宋" w:eastAsia="仿宋_GB2312" w:cs="Times New Roman"/>
          <w:kern w:val="2"/>
          <w:sz w:val="32"/>
          <w:szCs w:val="32"/>
          <w:highlight w:val="none"/>
          <w:lang w:val="en-US" w:eastAsia="zh-CN" w:bidi="ar-SA"/>
        </w:rPr>
        <w:t>丰富多彩的文化大餐</w:t>
      </w:r>
      <w:r>
        <w:rPr>
          <w:rFonts w:hint="eastAsia" w:hAnsi="仿宋" w:cs="Times New Roman"/>
          <w:kern w:val="2"/>
          <w:sz w:val="32"/>
          <w:szCs w:val="32"/>
          <w:highlight w:val="none"/>
          <w:lang w:val="en-US" w:eastAsia="zh-CN" w:bidi="ar-SA"/>
        </w:rPr>
        <w:t>，</w:t>
      </w:r>
      <w:r>
        <w:rPr>
          <w:rFonts w:hint="eastAsia" w:ascii="仿宋_GB2312" w:hAnsi="仿宋" w:eastAsia="仿宋_GB2312" w:cs="Times New Roman"/>
          <w:kern w:val="2"/>
          <w:sz w:val="32"/>
          <w:szCs w:val="32"/>
          <w:highlight w:val="none"/>
          <w:lang w:val="en-US" w:eastAsia="zh-CN" w:bidi="ar-SA"/>
        </w:rPr>
        <w:t>促进</w:t>
      </w:r>
      <w:r>
        <w:rPr>
          <w:rFonts w:hint="eastAsia" w:hAnsi="仿宋" w:cs="Times New Roman"/>
          <w:kern w:val="2"/>
          <w:sz w:val="32"/>
          <w:szCs w:val="32"/>
          <w:highlight w:val="none"/>
          <w:lang w:val="en-US" w:eastAsia="zh-CN" w:bidi="ar-SA"/>
        </w:rPr>
        <w:t>了张掖</w:t>
      </w:r>
      <w:r>
        <w:rPr>
          <w:rFonts w:hint="eastAsia" w:ascii="仿宋_GB2312" w:hAnsi="仿宋" w:eastAsia="仿宋_GB2312" w:cs="Times New Roman"/>
          <w:kern w:val="2"/>
          <w:sz w:val="32"/>
          <w:szCs w:val="32"/>
          <w:highlight w:val="none"/>
          <w:lang w:val="en-US" w:eastAsia="zh-CN" w:bidi="ar-SA"/>
        </w:rPr>
        <w:t>文艺事业的繁荣和发展。</w:t>
      </w:r>
    </w:p>
    <w:p w14:paraId="4AB11D90">
      <w:pPr>
        <w:pStyle w:val="5"/>
        <w:keepNext w:val="0"/>
        <w:keepLines w:val="0"/>
        <w:pageBreakBefore w:val="0"/>
        <w:widowControl w:val="0"/>
        <w:kinsoku/>
        <w:wordWrap/>
        <w:overflowPunct/>
        <w:topLinePunct w:val="0"/>
        <w:autoSpaceDE/>
        <w:autoSpaceDN/>
        <w:bidi w:val="0"/>
        <w:adjustRightInd w:val="0"/>
        <w:snapToGrid w:val="0"/>
        <w:spacing w:line="560" w:lineRule="atLeast"/>
        <w:ind w:left="111" w:right="125" w:firstLine="639"/>
        <w:jc w:val="both"/>
        <w:textAlignment w:val="auto"/>
        <w:rPr>
          <w:rFonts w:hint="eastAsia" w:ascii="仿宋_GB2312" w:hAnsi="仿宋" w:eastAsia="仿宋_GB2312"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坚持文化惠人民，推动艺术进社区、学校、乡镇</w:t>
      </w:r>
      <w:r>
        <w:rPr>
          <w:rFonts w:hint="eastAsia" w:hAnsi="仿宋" w:cs="Times New Roman"/>
          <w:kern w:val="2"/>
          <w:sz w:val="32"/>
          <w:szCs w:val="32"/>
          <w:highlight w:val="none"/>
          <w:lang w:val="en-US" w:eastAsia="zh-CN" w:bidi="ar-SA"/>
        </w:rPr>
        <w:t>。</w:t>
      </w:r>
      <w:r>
        <w:rPr>
          <w:rFonts w:hint="eastAsia" w:ascii="仿宋_GB2312" w:hAnsi="仿宋" w:eastAsia="仿宋_GB2312" w:cs="Times New Roman"/>
          <w:kern w:val="2"/>
          <w:sz w:val="32"/>
          <w:szCs w:val="32"/>
          <w:highlight w:val="none"/>
          <w:lang w:val="en-US" w:eastAsia="zh-CN" w:bidi="ar-SA"/>
        </w:rPr>
        <w:t>近年来，今年组织书画家开展“送文化下乡”笔会交流活</w:t>
      </w:r>
      <w:r>
        <w:rPr>
          <w:rFonts w:hint="eastAsia" w:hAnsi="仿宋" w:cs="Times New Roman"/>
          <w:kern w:val="2"/>
          <w:sz w:val="32"/>
          <w:szCs w:val="32"/>
          <w:highlight w:val="none"/>
          <w:lang w:val="en-US" w:eastAsia="zh-CN" w:bidi="ar-SA"/>
        </w:rPr>
        <w:t>、</w:t>
      </w:r>
      <w:r>
        <w:rPr>
          <w:rFonts w:hint="eastAsia" w:ascii="仿宋_GB2312" w:hAnsi="仿宋" w:eastAsia="仿宋_GB2312" w:cs="Times New Roman"/>
          <w:kern w:val="2"/>
          <w:sz w:val="32"/>
          <w:szCs w:val="32"/>
          <w:highlight w:val="none"/>
          <w:lang w:val="en-US" w:eastAsia="zh-CN" w:bidi="ar-SA"/>
        </w:rPr>
        <w:t>书画公益培训动12场次，丰富了村民们的精神文化生活。与村民互动了解他们的文化需求，同时培训一批基层文化骨干队伍。每逢佳节，书画家们把平安和谐、吉祥如意的春联和书画化为美好祝愿，精心准备迎新春“赠联送福”活动，现场挥毫泼墨为群众书写赠送春联500多副、书画200多幅，以传统文化的形式给基层群众送去真诚的祝福</w:t>
      </w:r>
      <w:r>
        <w:rPr>
          <w:rFonts w:hint="eastAsia" w:hAnsi="仿宋" w:cs="Times New Roman"/>
          <w:kern w:val="2"/>
          <w:sz w:val="32"/>
          <w:szCs w:val="32"/>
          <w:highlight w:val="none"/>
          <w:lang w:val="en-US" w:eastAsia="zh-CN" w:bidi="ar-SA"/>
        </w:rPr>
        <w:t>，</w:t>
      </w:r>
      <w:r>
        <w:rPr>
          <w:rFonts w:hint="eastAsia" w:ascii="仿宋_GB2312" w:hAnsi="仿宋" w:eastAsia="仿宋_GB2312" w:cs="Times New Roman"/>
          <w:kern w:val="2"/>
          <w:sz w:val="32"/>
          <w:szCs w:val="32"/>
          <w:highlight w:val="none"/>
          <w:lang w:val="en-US" w:eastAsia="zh-CN" w:bidi="ar-SA"/>
        </w:rPr>
        <w:t>践行文艺工作者的服务意识与责任担当。</w:t>
      </w:r>
    </w:p>
    <w:p w14:paraId="5A300D79">
      <w:pPr>
        <w:pStyle w:val="5"/>
        <w:keepNext w:val="0"/>
        <w:keepLines w:val="0"/>
        <w:pageBreakBefore w:val="0"/>
        <w:widowControl w:val="0"/>
        <w:kinsoku/>
        <w:wordWrap/>
        <w:overflowPunct/>
        <w:topLinePunct w:val="0"/>
        <w:autoSpaceDE/>
        <w:autoSpaceDN/>
        <w:bidi w:val="0"/>
        <w:adjustRightInd w:val="0"/>
        <w:snapToGrid w:val="0"/>
        <w:spacing w:line="560" w:lineRule="atLeast"/>
        <w:ind w:left="111" w:right="125" w:firstLine="639"/>
        <w:jc w:val="both"/>
        <w:textAlignment w:val="auto"/>
        <w:rPr>
          <w:rFonts w:hint="eastAsia" w:ascii="仿宋_GB2312" w:hAnsi="仿宋" w:eastAsia="仿宋_GB2312"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坚守宣传阵地，强化舆论引导。利用楼道、宣传栏、电子屏、美术馆微信公众号、抖音官网等载体对开展的各类活动进行宣传，加强社会主义核心价值观、全国文明城市创建、安全生产月等宣传普及，结合工作实际，制作短视频、抖音等宣传作品，全面反映工作开展情况，发布抖音视频宣传</w:t>
      </w:r>
      <w:r>
        <w:rPr>
          <w:rFonts w:hint="eastAsia" w:hAnsi="仿宋" w:cs="Times New Roman"/>
          <w:kern w:val="2"/>
          <w:sz w:val="32"/>
          <w:szCs w:val="32"/>
          <w:highlight w:val="none"/>
          <w:lang w:val="en-US" w:eastAsia="zh-CN" w:bidi="ar-SA"/>
        </w:rPr>
        <w:t>40</w:t>
      </w:r>
      <w:r>
        <w:rPr>
          <w:rFonts w:hint="eastAsia" w:ascii="仿宋_GB2312" w:hAnsi="仿宋" w:eastAsia="仿宋_GB2312" w:cs="Times New Roman"/>
          <w:kern w:val="2"/>
          <w:sz w:val="32"/>
          <w:szCs w:val="32"/>
          <w:highlight w:val="none"/>
          <w:lang w:val="en-US" w:eastAsia="zh-CN" w:bidi="ar-SA"/>
        </w:rPr>
        <w:t>余篇；微信公众号宣传70余篇；向市局报送文化展览、活动信息、创城、创卫信息34余篇。</w:t>
      </w:r>
    </w:p>
    <w:p w14:paraId="4829DFC7">
      <w:pPr>
        <w:pStyle w:val="5"/>
        <w:keepNext w:val="0"/>
        <w:keepLines w:val="0"/>
        <w:pageBreakBefore w:val="0"/>
        <w:widowControl w:val="0"/>
        <w:kinsoku/>
        <w:wordWrap/>
        <w:overflowPunct/>
        <w:topLinePunct w:val="0"/>
        <w:autoSpaceDE/>
        <w:autoSpaceDN/>
        <w:bidi w:val="0"/>
        <w:adjustRightInd w:val="0"/>
        <w:snapToGrid w:val="0"/>
        <w:spacing w:line="560" w:lineRule="atLeast"/>
        <w:ind w:left="111" w:right="125" w:firstLine="639"/>
        <w:jc w:val="both"/>
        <w:textAlignment w:val="auto"/>
        <w:rPr>
          <w:rFonts w:hint="eastAsia" w:ascii="仿宋_GB2312" w:hAnsi="仿宋" w:eastAsia="仿宋_GB2312"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提升团队创作能力和创作水平。创作人员主要立足于以张掖红色文化、丝路文化、长城 文化、石窟文化、祁连山生态文化、裕固族民族风情、丹霞自然景观等特色文化资源为中心进行创作工作。全年组织书画工作者创作美术作品近90幅、书法作品近50幅都是以彩虹张掖美术创作工程为契机，创作出一批反映地域美术特征和群众生产生活的文艺作品，引领本地的文艺创作导向</w:t>
      </w:r>
      <w:r>
        <w:rPr>
          <w:rFonts w:hint="eastAsia" w:hAnsi="仿宋" w:cs="Times New Roman"/>
          <w:kern w:val="2"/>
          <w:sz w:val="32"/>
          <w:szCs w:val="32"/>
          <w:highlight w:val="none"/>
          <w:lang w:val="en-US" w:eastAsia="zh-CN" w:bidi="ar-SA"/>
        </w:rPr>
        <w:t>，</w:t>
      </w:r>
      <w:r>
        <w:rPr>
          <w:rFonts w:hint="eastAsia" w:ascii="仿宋_GB2312" w:hAnsi="仿宋" w:eastAsia="仿宋_GB2312" w:cs="Times New Roman"/>
          <w:kern w:val="2"/>
          <w:sz w:val="32"/>
          <w:szCs w:val="32"/>
          <w:highlight w:val="none"/>
          <w:lang w:val="en-US" w:eastAsia="zh-CN" w:bidi="ar-SA"/>
        </w:rPr>
        <w:t>创作能力和队伍建设稳步发展，业绩明显提升。</w:t>
      </w:r>
    </w:p>
    <w:p w14:paraId="57B7EC87">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20" w:lineRule="atLeast"/>
        <w:ind w:firstLine="643"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4.重点项目紧抓落实。</w:t>
      </w:r>
    </w:p>
    <w:p w14:paraId="2D67E59E">
      <w:pPr>
        <w:keepNext w:val="0"/>
        <w:keepLines w:val="0"/>
        <w:pageBreakBefore w:val="0"/>
        <w:widowControl w:val="0"/>
        <w:kinsoku/>
        <w:wordWrap/>
        <w:overflowPunct/>
        <w:topLinePunct w:val="0"/>
        <w:autoSpaceDE/>
        <w:autoSpaceDN/>
        <w:bidi w:val="0"/>
        <w:adjustRightInd w:val="0"/>
        <w:snapToGrid w:val="0"/>
        <w:spacing w:line="580" w:lineRule="atLeas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lang w:val="en-US" w:eastAsia="zh-CN"/>
        </w:rPr>
        <w:t>张掖市美术馆滨河新区分馆公共文化设备购置工程的实施</w:t>
      </w:r>
      <w:r>
        <w:rPr>
          <w:rFonts w:hint="eastAsia" w:ascii="仿宋_GB2312" w:hAnsi="宋体" w:eastAsia="仿宋_GB2312" w:cs="宋体"/>
          <w:kern w:val="0"/>
          <w:sz w:val="32"/>
          <w:szCs w:val="32"/>
          <w:lang w:val="en-US" w:eastAsia="zh-CN"/>
        </w:rPr>
        <w:t>是秉持</w:t>
      </w:r>
      <w:r>
        <w:rPr>
          <w:rFonts w:hint="eastAsia" w:ascii="仿宋_GB2312" w:hAnsi="宋体" w:eastAsia="仿宋_GB2312" w:cs="宋体"/>
          <w:kern w:val="0"/>
          <w:sz w:val="32"/>
          <w:szCs w:val="32"/>
          <w:lang w:eastAsia="zh-CN"/>
        </w:rPr>
        <w:t>把文化艺术普及办到群众的心坎上，践行文艺工作着的服务意识与责任担当</w:t>
      </w:r>
      <w:r>
        <w:rPr>
          <w:rFonts w:hint="eastAsia" w:ascii="仿宋_GB2312" w:hAnsi="宋体" w:eastAsia="仿宋_GB2312" w:cs="宋体"/>
          <w:kern w:val="0"/>
          <w:sz w:val="32"/>
          <w:szCs w:val="32"/>
          <w:lang w:val="en-US" w:eastAsia="zh-CN"/>
        </w:rPr>
        <w:t>的原则，</w:t>
      </w:r>
      <w:r>
        <w:rPr>
          <w:rFonts w:hint="eastAsia" w:ascii="仿宋_GB2312" w:hAnsi="宋体" w:eastAsia="仿宋_GB2312" w:cs="宋体"/>
          <w:kern w:val="0"/>
          <w:sz w:val="32"/>
          <w:szCs w:val="32"/>
          <w:lang w:eastAsia="zh-CN"/>
        </w:rPr>
        <w:t>使张掖市美术馆分馆公共文化设施更好的服务于广大群众。</w:t>
      </w:r>
      <w:r>
        <w:rPr>
          <w:rFonts w:hint="eastAsia" w:ascii="仿宋_GB2312" w:hAnsi="仿宋_GB2312" w:eastAsia="仿宋_GB2312" w:cs="仿宋_GB2312"/>
          <w:b w:val="0"/>
          <w:bCs w:val="0"/>
          <w:color w:val="auto"/>
          <w:sz w:val="32"/>
          <w:szCs w:val="32"/>
          <w:lang w:val="en-US" w:eastAsia="zh-CN"/>
        </w:rPr>
        <w:t>通过该项目美术馆将加大新区分馆公益培训活动力度，通过讲座、写生实训等</w:t>
      </w:r>
      <w:r>
        <w:rPr>
          <w:rFonts w:hint="default" w:ascii="仿宋_GB2312" w:hAnsi="仿宋_GB2312" w:eastAsia="仿宋_GB2312" w:cs="仿宋_GB2312"/>
          <w:b w:val="0"/>
          <w:bCs w:val="0"/>
          <w:color w:val="auto"/>
          <w:sz w:val="32"/>
          <w:szCs w:val="32"/>
          <w:lang w:val="en-US" w:eastAsia="zh-CN"/>
        </w:rPr>
        <w:t>美育活动提升人们认识美、理解美、欣赏美、创作美的能力</w:t>
      </w:r>
      <w:r>
        <w:rPr>
          <w:rFonts w:hint="eastAsia" w:ascii="仿宋_GB2312" w:hAnsi="仿宋_GB2312" w:eastAsia="仿宋_GB2312" w:cs="仿宋_GB2312"/>
          <w:b w:val="0"/>
          <w:bCs w:val="0"/>
          <w:color w:val="auto"/>
          <w:sz w:val="32"/>
          <w:szCs w:val="32"/>
          <w:lang w:val="en-US" w:eastAsia="zh-CN"/>
        </w:rPr>
        <w:t>，全面将文化普及工作覆盖老城区和新区。</w:t>
      </w:r>
    </w:p>
    <w:p w14:paraId="7097BF4F">
      <w:pPr>
        <w:keepNext w:val="0"/>
        <w:keepLines w:val="0"/>
        <w:pageBreakBefore w:val="0"/>
        <w:numPr>
          <w:ilvl w:val="0"/>
          <w:numId w:val="0"/>
        </w:numPr>
        <w:kinsoku/>
        <w:wordWrap/>
        <w:overflowPunct/>
        <w:topLinePunct w:val="0"/>
        <w:autoSpaceDE/>
        <w:autoSpaceDN/>
        <w:bidi w:val="0"/>
        <w:adjustRightInd w:val="0"/>
        <w:snapToGrid w:val="0"/>
        <w:spacing w:line="580" w:lineRule="atLeast"/>
        <w:ind w:firstLine="640" w:firstLineChars="200"/>
        <w:textAlignment w:val="auto"/>
        <w:rPr>
          <w:rFonts w:hint="default" w:ascii="仿宋_GB2312" w:hAnsi="仿宋" w:eastAsia="仿宋_GB2312" w:cs="Times New Roman"/>
          <w:kern w:val="2"/>
          <w:sz w:val="32"/>
          <w:szCs w:val="32"/>
          <w:highlight w:val="none"/>
          <w:lang w:val="en-US" w:eastAsia="zh-CN" w:bidi="ar-SA"/>
        </w:rPr>
      </w:pPr>
      <w:r>
        <w:rPr>
          <w:rFonts w:hint="eastAsia" w:ascii="仿宋_GB2312" w:hAnsi="仿宋_GB2312" w:eastAsia="仿宋_GB2312" w:cs="仿宋_GB2312"/>
          <w:sz w:val="32"/>
          <w:szCs w:val="32"/>
          <w:lang w:val="en-US" w:eastAsia="zh-CN"/>
        </w:rPr>
        <w:t>项目实施过程中我单位严格执行内控制度和“三重一大”程序进行逐级审批。根据财政局采购相关程序</w:t>
      </w:r>
      <w:r>
        <w:rPr>
          <w:rFonts w:hint="eastAsia" w:ascii="仿宋_GB2312" w:hAnsi="Times New Roman" w:eastAsia="仿宋_GB2312" w:cs="Times New Roman"/>
          <w:sz w:val="32"/>
          <w:szCs w:val="32"/>
          <w:lang w:val="en-US" w:eastAsia="zh-CN"/>
        </w:rPr>
        <w:t>通过阳光平台、</w:t>
      </w:r>
      <w:r>
        <w:rPr>
          <w:rFonts w:hint="eastAsia" w:ascii="仿宋_GB2312" w:hAnsi="仿宋_GB2312" w:eastAsia="仿宋_GB2312" w:cs="仿宋_GB2312"/>
          <w:sz w:val="32"/>
          <w:szCs w:val="32"/>
          <w:lang w:val="en-US" w:eastAsia="zh-CN"/>
        </w:rPr>
        <w:t>张掖市公共资源交易中心阳光</w:t>
      </w:r>
      <w:r>
        <w:rPr>
          <w:rFonts w:hint="eastAsia" w:ascii="仿宋_GB2312" w:hAnsi="Times New Roman" w:eastAsia="仿宋_GB2312" w:cs="Times New Roman"/>
          <w:sz w:val="32"/>
          <w:szCs w:val="32"/>
          <w:lang w:val="en-US" w:eastAsia="zh-CN"/>
        </w:rPr>
        <w:t>招投标等方式规范招标询价，相对较大的节约了财政资金。现阶段</w:t>
      </w:r>
      <w:r>
        <w:rPr>
          <w:rFonts w:hint="eastAsia" w:ascii="仿宋_GB2312" w:hAnsi="仿宋_GB2312" w:eastAsia="仿宋_GB2312" w:cs="仿宋_GB2312"/>
          <w:sz w:val="32"/>
          <w:szCs w:val="32"/>
          <w:lang w:val="en-US" w:eastAsia="zh-CN"/>
        </w:rPr>
        <w:t>张掖市美术馆滨河新区分馆公共文化设备购置工程</w:t>
      </w:r>
      <w:r>
        <w:rPr>
          <w:rFonts w:hint="eastAsia" w:ascii="仿宋_GB2312" w:hAnsi="仿宋_GB2312" w:eastAsia="仿宋_GB2312" w:cs="仿宋_GB2312"/>
          <w:b w:val="0"/>
          <w:bCs w:val="0"/>
          <w:color w:val="auto"/>
          <w:sz w:val="32"/>
          <w:szCs w:val="32"/>
          <w:lang w:val="en-US" w:eastAsia="zh-CN"/>
        </w:rPr>
        <w:t>已按要求完成。</w:t>
      </w:r>
    </w:p>
    <w:p w14:paraId="09FDC842">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20" w:lineRule="atLeas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5.美术馆全年正常运行。</w:t>
      </w:r>
    </w:p>
    <w:p w14:paraId="5E5AC8BF">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20" w:lineRule="atLeast"/>
        <w:ind w:firstLine="640" w:firstLineChars="200"/>
        <w:textAlignment w:val="auto"/>
        <w:rPr>
          <w:rFonts w:hint="eastAsia" w:ascii="仿宋_GB2312" w:hAnsi="仿宋_GB2312" w:eastAsia="仿宋_GB2312" w:cs="仿宋_GB2312"/>
          <w:kern w:val="2"/>
          <w:sz w:val="32"/>
          <w:szCs w:val="32"/>
          <w:shd w:val="clear" w:color="auto" w:fill="FFFFFF"/>
          <w:lang w:val="en-US" w:eastAsia="zh-CN" w:bidi="ar-SA"/>
        </w:rPr>
      </w:pPr>
      <w:r>
        <w:rPr>
          <w:rFonts w:hint="eastAsia" w:ascii="仿宋_GB2312" w:hAnsi="仿宋_GB2312" w:eastAsia="仿宋_GB2312" w:cs="仿宋_GB2312"/>
          <w:b w:val="0"/>
          <w:bCs w:val="0"/>
          <w:sz w:val="32"/>
          <w:szCs w:val="32"/>
          <w:lang w:val="en-US" w:eastAsia="zh-CN"/>
        </w:rPr>
        <w:t xml:space="preserve">由于工作职能的转换，为匹配美术馆长效的发展机制，公益岗位保安一人、保洁一人，展览服务工作人员两人，经费由财政、免开支付，全面解决了美术馆基础事务的困扰。 </w:t>
      </w:r>
    </w:p>
    <w:p w14:paraId="77E8FE2D">
      <w:pPr>
        <w:widowControl/>
        <w:tabs>
          <w:tab w:val="left" w:pos="2880"/>
        </w:tabs>
        <w:spacing w:line="600" w:lineRule="exact"/>
        <w:ind w:firstLine="645"/>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（三）</w:t>
      </w:r>
      <w:r>
        <w:rPr>
          <w:rFonts w:hint="eastAsia" w:ascii="楷体_GB2312" w:hAnsi="楷体_GB2312" w:eastAsia="楷体_GB2312" w:cs="楷体_GB2312"/>
          <w:b/>
          <w:bCs w:val="0"/>
          <w:sz w:val="32"/>
          <w:szCs w:val="32"/>
        </w:rPr>
        <w:fldChar w:fldCharType="begin"/>
      </w:r>
      <w:r>
        <w:rPr>
          <w:rFonts w:hint="eastAsia" w:ascii="楷体_GB2312" w:hAnsi="楷体_GB2312" w:eastAsia="楷体_GB2312" w:cs="楷体_GB2312"/>
          <w:b/>
          <w:bCs w:val="0"/>
          <w:sz w:val="32"/>
          <w:szCs w:val="32"/>
        </w:rPr>
        <w:instrText xml:space="preserve"> HYPERLINK "http://www.ynf.gov.cn/zdlyxxgk/jxxx/jxpj/ztzc/201709/t20170928_468322.html" \l "_Toc434746189" </w:instrText>
      </w:r>
      <w:r>
        <w:rPr>
          <w:rFonts w:hint="eastAsia" w:ascii="楷体_GB2312" w:hAnsi="楷体_GB2312" w:eastAsia="楷体_GB2312" w:cs="楷体_GB2312"/>
          <w:b/>
          <w:bCs w:val="0"/>
          <w:sz w:val="32"/>
          <w:szCs w:val="32"/>
        </w:rPr>
        <w:fldChar w:fldCharType="separate"/>
      </w:r>
      <w:r>
        <w:rPr>
          <w:rFonts w:hint="eastAsia" w:ascii="楷体_GB2312" w:hAnsi="楷体_GB2312" w:eastAsia="楷体_GB2312" w:cs="楷体_GB2312"/>
          <w:b/>
          <w:bCs w:val="0"/>
          <w:sz w:val="32"/>
          <w:szCs w:val="32"/>
        </w:rPr>
        <w:t>整体收支情况</w:t>
      </w:r>
      <w:r>
        <w:rPr>
          <w:rFonts w:hint="eastAsia" w:ascii="楷体_GB2312" w:hAnsi="楷体_GB2312" w:eastAsia="楷体_GB2312" w:cs="楷体_GB2312"/>
          <w:b/>
          <w:bCs w:val="0"/>
          <w:sz w:val="32"/>
          <w:szCs w:val="32"/>
        </w:rPr>
        <w:fldChar w:fldCharType="end"/>
      </w:r>
    </w:p>
    <w:p w14:paraId="0BF23830">
      <w:pPr>
        <w:keepNext w:val="0"/>
        <w:keepLines w:val="0"/>
        <w:pageBreakBefore w:val="0"/>
        <w:kinsoku/>
        <w:wordWrap/>
        <w:overflowPunct/>
        <w:topLinePunct w:val="0"/>
        <w:autoSpaceDE/>
        <w:autoSpaceDN/>
        <w:bidi w:val="0"/>
        <w:adjustRightInd w:val="0"/>
        <w:snapToGrid w:val="0"/>
        <w:spacing w:line="520" w:lineRule="atLeast"/>
        <w:ind w:firstLine="640" w:firstLineChars="200"/>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pPr>
      <w:bookmarkStart w:id="1" w:name="（四）部门预算管理制度建设情况"/>
      <w:bookmarkEnd w:id="1"/>
      <w:r>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t>2024年度本年收入425.40万元，其中：财政拨款收入425.4万元；上级补助收入 0 万元；事业收入 0 万元；经营收入 0 万；附属单位上缴收入 0万元；其他收入 0万元。</w:t>
      </w:r>
    </w:p>
    <w:p w14:paraId="3EB052E7">
      <w:pPr>
        <w:keepNext w:val="0"/>
        <w:keepLines w:val="0"/>
        <w:pageBreakBefore w:val="0"/>
        <w:kinsoku/>
        <w:wordWrap/>
        <w:overflowPunct/>
        <w:topLinePunct w:val="0"/>
        <w:autoSpaceDE/>
        <w:autoSpaceDN/>
        <w:bidi w:val="0"/>
        <w:adjustRightInd w:val="0"/>
        <w:snapToGrid w:val="0"/>
        <w:spacing w:line="520" w:lineRule="atLeast"/>
        <w:ind w:firstLine="640" w:firstLineChars="200"/>
        <w:rPr>
          <w:rFonts w:hint="eastAsia"/>
          <w:color w:val="auto"/>
          <w:lang w:eastAsia="zh-CN"/>
        </w:rPr>
      </w:pPr>
      <w:r>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t>2024年度支出合计425.40万元，其中：基本支出167.32万元；项目支出258.08万元；上缴上级支出 0 万元；经营支出 0 万元；对附属单位补助支出 0 万元。</w:t>
      </w:r>
    </w:p>
    <w:p w14:paraId="1A48EF63">
      <w:pPr>
        <w:spacing w:line="6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主要包括上年结转、本年收入、本年支出等。</w:t>
      </w:r>
    </w:p>
    <w:p w14:paraId="510A7D06">
      <w:pPr>
        <w:spacing w:line="600" w:lineRule="exact"/>
        <w:ind w:firstLine="640" w:firstLineChars="200"/>
        <w:rPr>
          <w:rFonts w:hint="eastAsia" w:ascii="黑体" w:hAnsi="黑体" w:eastAsia="黑体"/>
          <w:color w:val="auto"/>
          <w:sz w:val="32"/>
          <w:szCs w:val="32"/>
        </w:rPr>
      </w:pPr>
      <w:r>
        <w:rPr>
          <w:rFonts w:hint="eastAsia" w:ascii="黑体" w:hAnsi="黑体" w:eastAsia="黑体"/>
          <w:color w:val="auto"/>
          <w:sz w:val="32"/>
          <w:szCs w:val="32"/>
        </w:rPr>
        <w:t>二、整体支出管理及使用情况</w:t>
      </w:r>
    </w:p>
    <w:p w14:paraId="4D7F4542">
      <w:pPr>
        <w:keepNext w:val="0"/>
        <w:keepLines w:val="0"/>
        <w:pageBreakBefore w:val="0"/>
        <w:kinsoku/>
        <w:wordWrap/>
        <w:overflowPunct/>
        <w:topLinePunct w:val="0"/>
        <w:autoSpaceDE/>
        <w:autoSpaceDN/>
        <w:bidi w:val="0"/>
        <w:adjustRightInd w:val="0"/>
        <w:snapToGrid w:val="0"/>
        <w:spacing w:line="520" w:lineRule="atLeast"/>
        <w:ind w:firstLine="643" w:firstLineChars="200"/>
        <w:rPr>
          <w:rFonts w:hint="eastAsia" w:ascii="楷体" w:hAnsi="楷体" w:eastAsia="楷体" w:cs="楷体"/>
          <w:b/>
          <w:bCs w:val="0"/>
          <w:color w:val="auto"/>
          <w:sz w:val="32"/>
          <w:szCs w:val="32"/>
          <w:highlight w:val="none"/>
        </w:rPr>
      </w:pPr>
      <w:r>
        <w:rPr>
          <w:rFonts w:hint="eastAsia" w:ascii="楷体" w:hAnsi="楷体" w:eastAsia="楷体" w:cs="楷体"/>
          <w:b/>
          <w:bCs w:val="0"/>
          <w:color w:val="auto"/>
          <w:sz w:val="32"/>
          <w:szCs w:val="32"/>
          <w:highlight w:val="none"/>
        </w:rPr>
        <w:t>（一）基本支出</w:t>
      </w:r>
    </w:p>
    <w:p w14:paraId="337AA7F8">
      <w:pPr>
        <w:keepNext w:val="0"/>
        <w:keepLines w:val="0"/>
        <w:pageBreakBefore w:val="0"/>
        <w:kinsoku/>
        <w:wordWrap/>
        <w:overflowPunct/>
        <w:topLinePunct w:val="0"/>
        <w:autoSpaceDE/>
        <w:autoSpaceDN/>
        <w:bidi w:val="0"/>
        <w:adjustRightInd w:val="0"/>
        <w:snapToGrid w:val="0"/>
        <w:spacing w:line="520" w:lineRule="atLeast"/>
        <w:ind w:firstLine="640" w:firstLineChars="200"/>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t>2024年人员经费支出144.26万元，其中基本工资45.34万元、津补贴31.93万元、奖金7.28万元、绩效工资23.16万元、机关基本养老保险13.63万元、医疗保险10.00万元、工伤及失业保险0.95万元、住房公积金11.97万元；</w:t>
      </w:r>
    </w:p>
    <w:p w14:paraId="030C05EE">
      <w:pPr>
        <w:keepNext w:val="0"/>
        <w:keepLines w:val="0"/>
        <w:pageBreakBefore w:val="0"/>
        <w:kinsoku/>
        <w:wordWrap/>
        <w:overflowPunct/>
        <w:topLinePunct w:val="0"/>
        <w:autoSpaceDE/>
        <w:autoSpaceDN/>
        <w:bidi w:val="0"/>
        <w:adjustRightInd w:val="0"/>
        <w:snapToGrid w:val="0"/>
        <w:spacing w:line="520" w:lineRule="atLeast"/>
        <w:ind w:firstLine="640" w:firstLineChars="200"/>
        <w:rPr>
          <w:rFonts w:hint="default"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t>对个人和家庭的补助支出1.09万元；</w:t>
      </w:r>
    </w:p>
    <w:p w14:paraId="6EE92C31">
      <w:pPr>
        <w:keepNext w:val="0"/>
        <w:keepLines w:val="0"/>
        <w:pageBreakBefore w:val="0"/>
        <w:kinsoku/>
        <w:wordWrap/>
        <w:overflowPunct/>
        <w:topLinePunct w:val="0"/>
        <w:autoSpaceDE/>
        <w:autoSpaceDN/>
        <w:bidi w:val="0"/>
        <w:adjustRightInd w:val="0"/>
        <w:snapToGrid w:val="0"/>
        <w:spacing w:line="520" w:lineRule="atLeast"/>
        <w:ind w:firstLine="640" w:firstLineChars="200"/>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t>基本支出公用经费支出：2024年财政拨入23.06万元；</w:t>
      </w:r>
    </w:p>
    <w:p w14:paraId="48489CDF">
      <w:pPr>
        <w:keepNext w:val="0"/>
        <w:keepLines w:val="0"/>
        <w:pageBreakBefore w:val="0"/>
        <w:kinsoku/>
        <w:wordWrap/>
        <w:overflowPunct/>
        <w:topLinePunct w:val="0"/>
        <w:autoSpaceDE/>
        <w:autoSpaceDN/>
        <w:bidi w:val="0"/>
        <w:adjustRightInd w:val="0"/>
        <w:snapToGrid w:val="0"/>
        <w:spacing w:line="520" w:lineRule="atLeast"/>
        <w:ind w:firstLine="640" w:firstLineChars="200"/>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t>预算执行率为100%。</w:t>
      </w:r>
    </w:p>
    <w:p w14:paraId="28ED65C0">
      <w:pPr>
        <w:keepNext w:val="0"/>
        <w:keepLines w:val="0"/>
        <w:pageBreakBefore w:val="0"/>
        <w:kinsoku/>
        <w:wordWrap/>
        <w:overflowPunct/>
        <w:topLinePunct w:val="0"/>
        <w:autoSpaceDE/>
        <w:autoSpaceDN/>
        <w:bidi w:val="0"/>
        <w:adjustRightInd w:val="0"/>
        <w:snapToGrid w:val="0"/>
        <w:spacing w:line="520" w:lineRule="atLeast"/>
        <w:ind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（二）“三公”经费决算说明</w:t>
      </w:r>
    </w:p>
    <w:p w14:paraId="63F67752">
      <w:pPr>
        <w:keepNext w:val="0"/>
        <w:keepLines w:val="0"/>
        <w:pageBreakBefore w:val="0"/>
        <w:kinsoku/>
        <w:wordWrap/>
        <w:overflowPunct/>
        <w:topLinePunct w:val="0"/>
        <w:autoSpaceDE/>
        <w:autoSpaceDN/>
        <w:bidi w:val="0"/>
        <w:adjustRightInd w:val="0"/>
        <w:snapToGrid w:val="0"/>
        <w:spacing w:line="520" w:lineRule="atLeast"/>
        <w:ind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2024年我单位无“三公”经费的支出。</w:t>
      </w:r>
    </w:p>
    <w:p w14:paraId="5969CBD2">
      <w:pPr>
        <w:keepNext w:val="0"/>
        <w:keepLines w:val="0"/>
        <w:pageBreakBefore w:val="0"/>
        <w:kinsoku/>
        <w:wordWrap/>
        <w:overflowPunct/>
        <w:topLinePunct w:val="0"/>
        <w:autoSpaceDE/>
        <w:autoSpaceDN/>
        <w:bidi w:val="0"/>
        <w:adjustRightInd w:val="0"/>
        <w:snapToGrid w:val="0"/>
        <w:spacing w:line="520" w:lineRule="atLeast"/>
        <w:ind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（三）支出管理情况</w:t>
      </w:r>
    </w:p>
    <w:p w14:paraId="270C3523">
      <w:pPr>
        <w:keepNext w:val="0"/>
        <w:keepLines w:val="0"/>
        <w:pageBreakBefore w:val="0"/>
        <w:kinsoku/>
        <w:wordWrap/>
        <w:overflowPunct/>
        <w:topLinePunct w:val="0"/>
        <w:autoSpaceDE/>
        <w:autoSpaceDN/>
        <w:bidi w:val="0"/>
        <w:adjustRightInd w:val="0"/>
        <w:snapToGrid w:val="0"/>
        <w:spacing w:line="520" w:lineRule="atLeast"/>
        <w:ind w:firstLine="640" w:firstLineChars="200"/>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b w:val="0"/>
          <w:bCs w:val="0"/>
          <w:i w:val="0"/>
          <w:caps w:val="0"/>
          <w:color w:val="auto"/>
          <w:spacing w:val="0"/>
          <w:kern w:val="0"/>
          <w:sz w:val="32"/>
          <w:szCs w:val="32"/>
          <w:highlight w:val="none"/>
          <w:shd w:val="clear" w:color="auto" w:fill="FFFFFF"/>
          <w:lang w:val="en-US" w:eastAsia="zh-CN" w:bidi="ar-SA"/>
        </w:rPr>
        <w:t>2024年支出425.40万元，其中：文化旅游体育与传媒支出387.76万元，社会保障和就业支出14.40万元，卫生健康支出11.27万元，住房保障支出11.97万元。</w:t>
      </w:r>
    </w:p>
    <w:p w14:paraId="34C71522">
      <w:pPr>
        <w:keepNext w:val="0"/>
        <w:keepLines w:val="0"/>
        <w:pageBreakBefore w:val="0"/>
        <w:kinsoku/>
        <w:wordWrap/>
        <w:overflowPunct/>
        <w:topLinePunct w:val="0"/>
        <w:autoSpaceDE/>
        <w:autoSpaceDN/>
        <w:bidi w:val="0"/>
        <w:adjustRightInd w:val="0"/>
        <w:snapToGrid w:val="0"/>
        <w:spacing w:line="520" w:lineRule="atLeast"/>
        <w:ind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（四）资产管理情况</w:t>
      </w:r>
    </w:p>
    <w:p w14:paraId="407DFD3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highlight w:val="none"/>
          <w:lang w:val="en-US" w:eastAsia="zh-CN"/>
        </w:rPr>
        <w:t>截至2024年12月31日，我单位流动资产9.23万元，非流动资产227.76万元，</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其中：2024年购买美术馆新区分馆展厅升降平台1台，群众公共服务书法美术体验培训设备10套，公益笔会写生大桌40张，展览活动椅子40把，投影仪2台，展览画框300个，展厅多功能饮水机3台，展览策划电脑2台，进入场馆安检门2个，展柜50个，典藏作品恒温展柜30米，美术馆文创作品展示柜</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ab/>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10个等，全部已录入固定资产。</w:t>
      </w:r>
      <w:r>
        <w:rPr>
          <w:rFonts w:hint="eastAsia" w:ascii="仿宋_GB2312" w:hAnsi="仿宋_GB2312" w:eastAsia="仿宋_GB2312" w:cs="仿宋_GB2312"/>
          <w:b w:val="0"/>
          <w:bCs w:val="0"/>
          <w:i w:val="0"/>
          <w:caps w:val="0"/>
          <w:color w:val="auto"/>
          <w:spacing w:val="0"/>
          <w:sz w:val="32"/>
          <w:szCs w:val="32"/>
          <w:shd w:val="clear" w:color="auto" w:fill="FFFFFF"/>
        </w:rPr>
        <w:t>我</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单位</w:t>
      </w:r>
      <w:r>
        <w:rPr>
          <w:rFonts w:hint="eastAsia" w:ascii="仿宋_GB2312" w:hAnsi="仿宋_GB2312" w:eastAsia="仿宋_GB2312" w:cs="仿宋_GB2312"/>
          <w:b w:val="0"/>
          <w:bCs w:val="0"/>
          <w:i w:val="0"/>
          <w:caps w:val="0"/>
          <w:color w:val="auto"/>
          <w:spacing w:val="0"/>
          <w:sz w:val="32"/>
          <w:szCs w:val="32"/>
          <w:shd w:val="clear" w:color="auto" w:fill="FFFFFF"/>
        </w:rPr>
        <w:t>认真贯</w:t>
      </w:r>
      <w:r>
        <w:rPr>
          <w:rFonts w:hint="eastAsia" w:ascii="仿宋_GB2312" w:hAnsi="仿宋_GB2312" w:eastAsia="仿宋_GB2312" w:cs="仿宋_GB2312"/>
          <w:b w:val="0"/>
          <w:bCs w:val="0"/>
          <w:i w:val="0"/>
          <w:caps w:val="0"/>
          <w:color w:val="auto"/>
          <w:spacing w:val="0"/>
          <w:sz w:val="32"/>
          <w:szCs w:val="32"/>
          <w:highlight w:val="none"/>
          <w:shd w:val="clear" w:color="auto" w:fill="FFFFFF"/>
        </w:rPr>
        <w:t>彻落实《党政机关厉行节约反对浪费条例》中关于</w:t>
      </w:r>
      <w:r>
        <w:rPr>
          <w:rFonts w:hint="eastAsia" w:ascii="仿宋_GB2312" w:hAnsi="仿宋_GB2312" w:eastAsia="仿宋_GB2312" w:cs="仿宋_GB2312"/>
          <w:b w:val="0"/>
          <w:bCs w:val="0"/>
          <w:i w:val="0"/>
          <w:caps w:val="0"/>
          <w:color w:val="auto"/>
          <w:spacing w:val="0"/>
          <w:sz w:val="32"/>
          <w:szCs w:val="32"/>
          <w:shd w:val="clear" w:color="auto" w:fill="FFFFFF"/>
        </w:rPr>
        <w:t>从严从紧控制公务开支要求。在资金使用上一直按照国家财经法规和本单位财务管理制度规定以及有关专项资金管理办法的规定收支，资金拨付有完整的审批程序和手续，按照财经制度的有关要求，有计划地安排、使用资金，严格财务审批制度。重大开支</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开</w:t>
      </w:r>
      <w:r>
        <w:rPr>
          <w:rFonts w:hint="eastAsia" w:ascii="仿宋_GB2312" w:hAnsi="仿宋_GB2312" w:eastAsia="仿宋_GB2312" w:cs="仿宋_GB2312"/>
          <w:b w:val="0"/>
          <w:bCs w:val="0"/>
          <w:i w:val="0"/>
          <w:caps w:val="0"/>
          <w:color w:val="auto"/>
          <w:spacing w:val="0"/>
          <w:sz w:val="32"/>
          <w:szCs w:val="32"/>
          <w:shd w:val="clear" w:color="auto" w:fill="FFFFFF"/>
        </w:rPr>
        <w:t>会集体研究，保证资金使用合法合规，同时资金使用无截留、挤占、挪用、虚列支出等情况。在严格执行各项有关法律法规、财务规章制度的同时，我单位还制定了《物资采购管理办法》</w:t>
      </w:r>
      <w:r>
        <w:rPr>
          <w:rFonts w:hint="eastAsia" w:ascii="仿宋_GB2312" w:hAnsi="仿宋_GB2312" w:eastAsia="仿宋_GB2312" w:cs="仿宋_GB2312"/>
          <w:b w:val="0"/>
          <w:bCs w:val="0"/>
          <w:i w:val="0"/>
          <w:caps w:val="0"/>
          <w:color w:val="auto"/>
          <w:spacing w:val="0"/>
          <w:sz w:val="32"/>
          <w:szCs w:val="32"/>
          <w:shd w:val="clear" w:color="auto" w:fill="FFFFFF"/>
          <w:lang w:eastAsia="zh-CN"/>
        </w:rPr>
        <w:t>《库房管理办法》</w:t>
      </w:r>
      <w:r>
        <w:rPr>
          <w:rFonts w:hint="eastAsia" w:ascii="仿宋_GB2312" w:hAnsi="仿宋_GB2312" w:eastAsia="仿宋_GB2312" w:cs="仿宋_GB2312"/>
          <w:b w:val="0"/>
          <w:bCs w:val="0"/>
          <w:i w:val="0"/>
          <w:caps w:val="0"/>
          <w:color w:val="auto"/>
          <w:spacing w:val="0"/>
          <w:sz w:val="32"/>
          <w:szCs w:val="32"/>
          <w:shd w:val="clear" w:color="auto" w:fill="FFFFFF"/>
        </w:rPr>
        <w:t>等制度</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有效规范资产管理。</w:t>
      </w:r>
    </w:p>
    <w:p w14:paraId="438C2ABB">
      <w:pPr>
        <w:spacing w:line="60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三、整体支出绩效情况</w:t>
      </w:r>
    </w:p>
    <w:p w14:paraId="421B7207">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atLeast"/>
        <w:ind w:firstLine="640" w:firstLineChars="200"/>
        <w:textAlignment w:val="auto"/>
        <w:rPr>
          <w:rFonts w:hint="eastAsia" w:ascii="仿宋_GB2312" w:hAnsi="仿宋_GB2312" w:eastAsia="仿宋_GB2312" w:cs="仿宋_GB2312"/>
          <w:sz w:val="32"/>
          <w:szCs w:val="32"/>
          <w:lang w:val="en-US" w:eastAsia="zh-CN"/>
        </w:rPr>
      </w:pPr>
      <w:bookmarkStart w:id="2" w:name="（一）绩效自评目的"/>
      <w:bookmarkEnd w:id="2"/>
      <w:r>
        <w:rPr>
          <w:rFonts w:hint="eastAsia" w:ascii="仿宋_GB2312" w:hAnsi="仿宋_GB2312" w:eastAsia="仿宋_GB2312" w:cs="仿宋_GB2312"/>
          <w:sz w:val="32"/>
          <w:szCs w:val="32"/>
          <w:lang w:val="en-US" w:eastAsia="zh-CN"/>
        </w:rPr>
        <w:t>张掖书画院（张掖市美术馆）深入学习贯彻党的二十大精神，</w:t>
      </w:r>
      <w:r>
        <w:rPr>
          <w:rFonts w:hint="default" w:ascii="仿宋_GB2312" w:hAnsi="仿宋_GB2312" w:eastAsia="仿宋_GB2312" w:cs="仿宋_GB2312"/>
          <w:sz w:val="32"/>
          <w:szCs w:val="32"/>
          <w:lang w:eastAsia="zh-CN"/>
        </w:rPr>
        <w:t>紧紧围绕</w:t>
      </w:r>
      <w:r>
        <w:rPr>
          <w:rFonts w:hint="eastAsia" w:ascii="仿宋_GB2312" w:hAnsi="仿宋_GB2312" w:eastAsia="仿宋_GB2312" w:cs="仿宋_GB2312"/>
          <w:sz w:val="32"/>
          <w:szCs w:val="32"/>
          <w:lang w:val="en-US" w:eastAsia="zh-CN"/>
        </w:rPr>
        <w:t>市委市政府的</w:t>
      </w:r>
      <w:r>
        <w:rPr>
          <w:rFonts w:hint="default" w:ascii="仿宋_GB2312" w:hAnsi="仿宋_GB2312" w:eastAsia="仿宋_GB2312" w:cs="仿宋_GB2312"/>
          <w:sz w:val="32"/>
          <w:szCs w:val="32"/>
          <w:lang w:eastAsia="zh-CN"/>
        </w:rPr>
        <w:t>中心工作</w:t>
      </w:r>
      <w:r>
        <w:rPr>
          <w:rFonts w:hint="eastAsia" w:ascii="仿宋_GB2312" w:hAnsi="仿宋_GB2312" w:eastAsia="仿宋_GB2312" w:cs="仿宋_GB2312"/>
          <w:sz w:val="32"/>
          <w:szCs w:val="32"/>
          <w:lang w:val="en-US" w:eastAsia="zh-CN"/>
        </w:rPr>
        <w:t>，在张掖市文化广电和旅游局</w:t>
      </w:r>
      <w:r>
        <w:rPr>
          <w:rFonts w:hint="default"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领导下，积极开展各项工作，高效利用“三馆一站”免开资金举办17场次高质量展览、12场次高水准公益活动、专职画家专业技术提升、文化普及惠民人数等各个方面都取得了丰硕的成果。</w:t>
      </w:r>
      <w:r>
        <w:rPr>
          <w:rFonts w:hint="eastAsia" w:ascii="仿宋_GB2312" w:hAnsi="仿宋_GB2312" w:eastAsia="仿宋_GB2312" w:cs="仿宋_GB2312"/>
          <w:b w:val="0"/>
          <w:bCs w:val="0"/>
          <w:sz w:val="32"/>
          <w:szCs w:val="32"/>
          <w:lang w:val="en-US" w:eastAsia="zh-CN"/>
        </w:rPr>
        <w:t>2024年积极开展丰富多彩的交流活动加大与基层单位的沟通联络，促进文化的传播与发展。用手中画笔抒发对乡村的热爱之情，作品精彩纷呈，艺术家们在绘画的同时与村民们亲切交流，嘘寒问暖，共同为乡村文化建设出谋划策。文化扶贫的实际举措，为我市艺术家交流搭建了一个平台，并将成为美术现场创作的新亮点。同时，进一步为文艺发展做好服务，大力推进文艺精品创作和传播扶持，鼓励引导艺术家创作优秀作品，促进精品艺术的多渠道传输、多平台展示、多终端推送。满足百姓日益增长的文化生活需要，为张掖市全面振兴全方位振兴贡献文艺力量。各项活动均按照年初签订的目标责任书的要求，高要求、高质量超额完成了各类培训、展览工作。</w:t>
      </w:r>
    </w:p>
    <w:p w14:paraId="2AC7709B">
      <w:pPr>
        <w:keepNext w:val="0"/>
        <w:keepLines w:val="0"/>
        <w:pageBreakBefore w:val="0"/>
        <w:widowControl w:val="0"/>
        <w:kinsoku/>
        <w:wordWrap/>
        <w:overflowPunct/>
        <w:topLinePunct w:val="0"/>
        <w:autoSpaceDE/>
        <w:autoSpaceDN/>
        <w:bidi w:val="0"/>
        <w:adjustRightInd w:val="0"/>
        <w:snapToGrid w:val="0"/>
        <w:spacing w:line="580" w:lineRule="atLeast"/>
        <w:ind w:firstLine="640" w:firstLineChars="200"/>
        <w:textAlignment w:val="auto"/>
        <w:rPr>
          <w:rFonts w:hint="eastAsia" w:ascii="仿宋_GB2312" w:hAnsi="宋体" w:eastAsia="仿宋_GB2312" w:cs="宋体"/>
          <w:kern w:val="0"/>
          <w:sz w:val="32"/>
          <w:szCs w:val="32"/>
          <w:lang w:eastAsia="zh-CN"/>
        </w:rPr>
      </w:pPr>
      <w:r>
        <w:rPr>
          <w:rFonts w:hint="eastAsia" w:ascii="仿宋_GB2312" w:hAnsi="仿宋_GB2312" w:eastAsia="仿宋_GB2312" w:cs="仿宋_GB2312"/>
          <w:sz w:val="32"/>
          <w:szCs w:val="32"/>
          <w:lang w:val="en-US" w:eastAsia="zh-CN"/>
        </w:rPr>
        <w:t>张掖市美术馆滨河新区分馆公共文化设备购置工程的实施，</w:t>
      </w:r>
      <w:r>
        <w:rPr>
          <w:rFonts w:hint="eastAsia" w:ascii="仿宋_GB2312" w:hAnsi="宋体" w:eastAsia="仿宋_GB2312" w:cs="宋体"/>
          <w:kern w:val="0"/>
          <w:sz w:val="32"/>
          <w:szCs w:val="32"/>
          <w:lang w:val="en-US" w:eastAsia="zh-CN"/>
        </w:rPr>
        <w:t>不仅</w:t>
      </w:r>
      <w:r>
        <w:rPr>
          <w:rFonts w:hint="eastAsia" w:ascii="仿宋_GB2312" w:hAnsi="宋体" w:eastAsia="仿宋_GB2312" w:cs="宋体"/>
          <w:kern w:val="0"/>
          <w:sz w:val="32"/>
          <w:szCs w:val="32"/>
          <w:lang w:eastAsia="zh-CN"/>
        </w:rPr>
        <w:t>弘扬中国传统文化，普及书画艺术，提高书画爱好者的艺术水平，更好地满足</w:t>
      </w:r>
      <w:r>
        <w:rPr>
          <w:rFonts w:hint="eastAsia" w:ascii="仿宋_GB2312" w:hAnsi="宋体" w:eastAsia="仿宋_GB2312" w:cs="宋体"/>
          <w:kern w:val="0"/>
          <w:sz w:val="32"/>
          <w:szCs w:val="32"/>
          <w:lang w:val="en-US" w:eastAsia="zh-CN"/>
        </w:rPr>
        <w:t>新区</w:t>
      </w:r>
      <w:r>
        <w:rPr>
          <w:rFonts w:hint="eastAsia" w:ascii="仿宋_GB2312" w:hAnsi="宋体" w:eastAsia="仿宋_GB2312" w:cs="宋体"/>
          <w:kern w:val="0"/>
          <w:sz w:val="32"/>
          <w:szCs w:val="32"/>
          <w:lang w:eastAsia="zh-CN"/>
        </w:rPr>
        <w:t>群众对文化生活的需求，</w:t>
      </w:r>
      <w:r>
        <w:rPr>
          <w:rFonts w:hint="eastAsia" w:ascii="仿宋_GB2312" w:hAnsi="宋体" w:eastAsia="仿宋_GB2312" w:cs="宋体"/>
          <w:kern w:val="0"/>
          <w:sz w:val="32"/>
          <w:szCs w:val="32"/>
          <w:lang w:val="en-US" w:eastAsia="zh-CN"/>
        </w:rPr>
        <w:t>同时</w:t>
      </w:r>
      <w:r>
        <w:rPr>
          <w:rFonts w:hint="eastAsia" w:ascii="仿宋_GB2312" w:hAnsi="宋体" w:eastAsia="仿宋_GB2312" w:cs="宋体"/>
          <w:kern w:val="0"/>
          <w:sz w:val="32"/>
          <w:szCs w:val="32"/>
          <w:lang w:eastAsia="zh-CN"/>
        </w:rPr>
        <w:t>充分体现张掖市美术馆公共文化服务职能，全面深化为人民服务的能力。</w:t>
      </w:r>
      <w:r>
        <w:rPr>
          <w:rFonts w:hint="eastAsia" w:ascii="仿宋_GB2312" w:hAnsi="宋体" w:eastAsia="仿宋_GB2312" w:cs="宋体"/>
          <w:kern w:val="0"/>
          <w:sz w:val="32"/>
          <w:szCs w:val="32"/>
          <w:lang w:val="en-US" w:eastAsia="zh-CN"/>
        </w:rPr>
        <w:t>该项目完成的作用</w:t>
      </w:r>
      <w:r>
        <w:rPr>
          <w:rFonts w:hint="eastAsia" w:ascii="仿宋_GB2312" w:hAnsi="宋体" w:eastAsia="仿宋_GB2312" w:cs="宋体"/>
          <w:kern w:val="0"/>
          <w:sz w:val="32"/>
          <w:szCs w:val="32"/>
          <w:lang w:eastAsia="zh-CN"/>
        </w:rPr>
        <w:t xml:space="preserve">主要体现在以下几个方面： </w:t>
      </w:r>
    </w:p>
    <w:p w14:paraId="703C23F8">
      <w:pPr>
        <w:keepNext w:val="0"/>
        <w:keepLines w:val="0"/>
        <w:pageBreakBefore w:val="0"/>
        <w:widowControl w:val="0"/>
        <w:kinsoku/>
        <w:wordWrap/>
        <w:overflowPunct/>
        <w:topLinePunct w:val="0"/>
        <w:autoSpaceDE/>
        <w:autoSpaceDN/>
        <w:bidi w:val="0"/>
        <w:adjustRightInd w:val="0"/>
        <w:snapToGrid w:val="0"/>
        <w:spacing w:line="580" w:lineRule="atLeast"/>
        <w:ind w:firstLine="640" w:firstLineChars="200"/>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lang w:eastAsia="zh-CN"/>
        </w:rPr>
        <w:t>‌文化传承与教育‌：</w:t>
      </w:r>
      <w:r>
        <w:rPr>
          <w:rFonts w:hint="eastAsia" w:ascii="仿宋_GB2312" w:hAnsi="宋体" w:eastAsia="仿宋_GB2312" w:cs="宋体"/>
          <w:kern w:val="0"/>
          <w:sz w:val="32"/>
          <w:szCs w:val="32"/>
          <w:lang w:val="en-US" w:eastAsia="zh-CN"/>
        </w:rPr>
        <w:t>新区</w:t>
      </w:r>
      <w:r>
        <w:rPr>
          <w:rFonts w:hint="eastAsia" w:ascii="仿宋_GB2312" w:hAnsi="宋体" w:eastAsia="仿宋_GB2312" w:cs="宋体"/>
          <w:kern w:val="0"/>
          <w:sz w:val="32"/>
          <w:szCs w:val="32"/>
          <w:lang w:eastAsia="zh-CN"/>
        </w:rPr>
        <w:t>美术馆作为现代美育实施推进的有效场所，可以更好地在视觉上给学生美的享受，它为学生提供了一个专业化的学习场所，使美术教学内容更加丰富，学生的学习参与热情也能得到更好地激发‌。此外，</w:t>
      </w:r>
      <w:r>
        <w:rPr>
          <w:rFonts w:hint="eastAsia" w:ascii="仿宋_GB2312" w:hAnsi="宋体" w:eastAsia="仿宋_GB2312" w:cs="宋体"/>
          <w:kern w:val="0"/>
          <w:sz w:val="32"/>
          <w:szCs w:val="32"/>
          <w:lang w:val="en-US" w:eastAsia="zh-CN"/>
        </w:rPr>
        <w:t>新区美术馆</w:t>
      </w:r>
      <w:r>
        <w:rPr>
          <w:rFonts w:hint="eastAsia" w:ascii="仿宋_GB2312" w:hAnsi="宋体" w:eastAsia="仿宋_GB2312" w:cs="宋体"/>
          <w:kern w:val="0"/>
          <w:sz w:val="32"/>
          <w:szCs w:val="32"/>
          <w:lang w:eastAsia="zh-CN"/>
        </w:rPr>
        <w:t xml:space="preserve">收藏展示名家艺术品，让学生受到多元文化熏陶，推动立德树人工作的开展‌。 </w:t>
      </w:r>
    </w:p>
    <w:p w14:paraId="2EFE9071">
      <w:pPr>
        <w:keepNext w:val="0"/>
        <w:keepLines w:val="0"/>
        <w:pageBreakBefore w:val="0"/>
        <w:widowControl w:val="0"/>
        <w:kinsoku/>
        <w:wordWrap/>
        <w:overflowPunct/>
        <w:topLinePunct w:val="0"/>
        <w:autoSpaceDE/>
        <w:autoSpaceDN/>
        <w:bidi w:val="0"/>
        <w:adjustRightInd w:val="0"/>
        <w:snapToGrid w:val="0"/>
        <w:spacing w:line="580" w:lineRule="atLeast"/>
        <w:ind w:firstLine="640" w:firstLineChars="200"/>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lang w:eastAsia="zh-CN"/>
        </w:rPr>
        <w:t>‌社会文化发展‌：</w:t>
      </w:r>
      <w:r>
        <w:rPr>
          <w:rFonts w:hint="eastAsia" w:ascii="仿宋_GB2312" w:hAnsi="宋体" w:eastAsia="仿宋_GB2312" w:cs="宋体"/>
          <w:kern w:val="0"/>
          <w:sz w:val="32"/>
          <w:szCs w:val="32"/>
          <w:lang w:val="en-US" w:eastAsia="zh-CN"/>
        </w:rPr>
        <w:t>新区</w:t>
      </w:r>
      <w:r>
        <w:rPr>
          <w:rFonts w:hint="eastAsia" w:ascii="仿宋_GB2312" w:hAnsi="宋体" w:eastAsia="仿宋_GB2312" w:cs="宋体"/>
          <w:kern w:val="0"/>
          <w:sz w:val="32"/>
          <w:szCs w:val="32"/>
          <w:lang w:eastAsia="zh-CN"/>
        </w:rPr>
        <w:t>美术馆</w:t>
      </w:r>
      <w:r>
        <w:rPr>
          <w:rFonts w:hint="eastAsia" w:ascii="仿宋_GB2312" w:hAnsi="仿宋_GB2312" w:eastAsia="仿宋_GB2312" w:cs="仿宋_GB2312"/>
          <w:sz w:val="32"/>
          <w:szCs w:val="32"/>
          <w:lang w:val="en-US" w:eastAsia="zh-CN"/>
        </w:rPr>
        <w:t>公共文化设备购置的完成</w:t>
      </w:r>
      <w:r>
        <w:rPr>
          <w:rFonts w:hint="eastAsia" w:ascii="仿宋_GB2312" w:hAnsi="宋体" w:eastAsia="仿宋_GB2312" w:cs="宋体"/>
          <w:kern w:val="0"/>
          <w:sz w:val="32"/>
          <w:szCs w:val="32"/>
          <w:lang w:eastAsia="zh-CN"/>
        </w:rPr>
        <w:t>和使用不仅</w:t>
      </w:r>
      <w:r>
        <w:rPr>
          <w:rFonts w:hint="eastAsia" w:ascii="仿宋_GB2312" w:hAnsi="宋体" w:eastAsia="仿宋_GB2312" w:cs="宋体"/>
          <w:kern w:val="0"/>
          <w:sz w:val="32"/>
          <w:szCs w:val="32"/>
          <w:lang w:val="en-US" w:eastAsia="zh-CN"/>
        </w:rPr>
        <w:t>高效的</w:t>
      </w:r>
      <w:r>
        <w:rPr>
          <w:rFonts w:hint="eastAsia" w:ascii="仿宋_GB2312" w:hAnsi="宋体" w:eastAsia="仿宋_GB2312" w:cs="宋体"/>
          <w:kern w:val="0"/>
          <w:sz w:val="32"/>
          <w:szCs w:val="32"/>
          <w:lang w:eastAsia="zh-CN"/>
        </w:rPr>
        <w:t>展示艺术作品，还能通过举办各种</w:t>
      </w:r>
      <w:r>
        <w:rPr>
          <w:rFonts w:hint="eastAsia" w:ascii="仿宋_GB2312" w:hAnsi="宋体" w:eastAsia="仿宋_GB2312" w:cs="宋体"/>
          <w:kern w:val="0"/>
          <w:sz w:val="32"/>
          <w:szCs w:val="32"/>
          <w:lang w:val="en-US" w:eastAsia="zh-CN"/>
        </w:rPr>
        <w:t>大型展览会展</w:t>
      </w:r>
      <w:r>
        <w:rPr>
          <w:rFonts w:hint="eastAsia" w:ascii="仿宋_GB2312" w:hAnsi="宋体" w:eastAsia="仿宋_GB2312" w:cs="宋体"/>
          <w:kern w:val="0"/>
          <w:sz w:val="32"/>
          <w:szCs w:val="32"/>
          <w:lang w:eastAsia="zh-CN"/>
        </w:rPr>
        <w:t>活动，为企业创造新闻传播机会，</w:t>
      </w:r>
      <w:r>
        <w:rPr>
          <w:rFonts w:hint="eastAsia" w:ascii="仿宋_GB2312" w:hAnsi="宋体" w:eastAsia="仿宋_GB2312" w:cs="宋体"/>
          <w:kern w:val="0"/>
          <w:sz w:val="32"/>
          <w:szCs w:val="32"/>
          <w:lang w:val="en-US" w:eastAsia="zh-CN"/>
        </w:rPr>
        <w:t>促进文旅产业高效融合</w:t>
      </w:r>
      <w:r>
        <w:rPr>
          <w:rFonts w:hint="eastAsia" w:ascii="仿宋_GB2312" w:hAnsi="宋体" w:eastAsia="仿宋_GB2312" w:cs="宋体"/>
          <w:kern w:val="0"/>
          <w:sz w:val="32"/>
          <w:szCs w:val="32"/>
          <w:lang w:eastAsia="zh-CN"/>
        </w:rPr>
        <w:t>。</w:t>
      </w:r>
    </w:p>
    <w:p w14:paraId="0B3F8711">
      <w:pPr>
        <w:keepNext w:val="0"/>
        <w:keepLines w:val="0"/>
        <w:pageBreakBefore w:val="0"/>
        <w:widowControl w:val="0"/>
        <w:kinsoku/>
        <w:wordWrap/>
        <w:overflowPunct/>
        <w:topLinePunct w:val="0"/>
        <w:autoSpaceDE/>
        <w:autoSpaceDN/>
        <w:bidi w:val="0"/>
        <w:adjustRightInd w:val="0"/>
        <w:snapToGrid w:val="0"/>
        <w:spacing w:line="580" w:lineRule="atLeast"/>
        <w:ind w:firstLine="640" w:firstLineChars="200"/>
        <w:textAlignment w:val="auto"/>
        <w:rPr>
          <w:rFonts w:hint="default"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lang w:eastAsia="zh-CN"/>
        </w:rPr>
        <w:t>‌艺术生态的丰富‌：</w:t>
      </w:r>
      <w:r>
        <w:rPr>
          <w:rFonts w:hint="eastAsia" w:ascii="仿宋_GB2312" w:hAnsi="宋体" w:eastAsia="仿宋_GB2312" w:cs="宋体"/>
          <w:kern w:val="0"/>
          <w:sz w:val="32"/>
          <w:szCs w:val="32"/>
          <w:lang w:val="en-US" w:eastAsia="zh-CN"/>
        </w:rPr>
        <w:t>新区</w:t>
      </w:r>
      <w:r>
        <w:rPr>
          <w:rFonts w:hint="eastAsia" w:ascii="仿宋_GB2312" w:hAnsi="宋体" w:eastAsia="仿宋_GB2312" w:cs="宋体"/>
          <w:kern w:val="0"/>
          <w:sz w:val="32"/>
          <w:szCs w:val="32"/>
          <w:lang w:eastAsia="zh-CN"/>
        </w:rPr>
        <w:t>美术馆</w:t>
      </w:r>
      <w:r>
        <w:rPr>
          <w:rFonts w:hint="eastAsia" w:ascii="仿宋_GB2312" w:hAnsi="仿宋_GB2312" w:eastAsia="仿宋_GB2312" w:cs="仿宋_GB2312"/>
          <w:sz w:val="32"/>
          <w:szCs w:val="32"/>
          <w:lang w:val="en-US" w:eastAsia="zh-CN"/>
        </w:rPr>
        <w:t>公共文化设备购置工程</w:t>
      </w:r>
      <w:r>
        <w:rPr>
          <w:rFonts w:hint="eastAsia" w:ascii="仿宋_GB2312" w:hAnsi="宋体" w:eastAsia="仿宋_GB2312" w:cs="宋体"/>
          <w:kern w:val="0"/>
          <w:sz w:val="32"/>
          <w:szCs w:val="32"/>
          <w:lang w:eastAsia="zh-CN"/>
        </w:rPr>
        <w:t>丰富了公共空间的艺术生态，凸显了艺术家群体以自己的作品参与了当代文明和社区文明的建设。这种模式通过具有特色的艺术，丰富高品质的城市文明‌，真正体现零距离和公共互动，</w:t>
      </w:r>
      <w:r>
        <w:rPr>
          <w:rFonts w:hint="eastAsia" w:ascii="仿宋_GB2312" w:hAnsi="宋体" w:eastAsia="仿宋_GB2312" w:cs="宋体"/>
          <w:kern w:val="0"/>
          <w:sz w:val="32"/>
          <w:szCs w:val="32"/>
          <w:lang w:val="en-US" w:eastAsia="zh-CN"/>
        </w:rPr>
        <w:t>较大程度的为新区公共文化注入新的活力。</w:t>
      </w:r>
    </w:p>
    <w:p w14:paraId="17B12223">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right="0" w:rightChars="0" w:firstLine="640" w:firstLineChars="200"/>
        <w:jc w:val="both"/>
        <w:textAlignment w:val="auto"/>
        <w:rPr>
          <w:rFonts w:hint="eastAsia" w:ascii="仿宋_GB2312" w:hAnsi="仿宋_GB2312" w:eastAsia="仿宋_GB2312" w:cs="仿宋_GB2312"/>
          <w:b w:val="0"/>
          <w:bCs w:val="0"/>
          <w:i w:val="0"/>
          <w:caps w:val="0"/>
          <w:color w:val="auto"/>
          <w:spacing w:val="0"/>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2024</w:t>
      </w:r>
      <w:r>
        <w:rPr>
          <w:rFonts w:hint="eastAsia" w:ascii="仿宋_GB2312" w:hAnsi="仿宋_GB2312" w:eastAsia="仿宋_GB2312" w:cs="仿宋_GB2312"/>
          <w:b w:val="0"/>
          <w:bCs w:val="0"/>
          <w:i w:val="0"/>
          <w:caps w:val="0"/>
          <w:color w:val="auto"/>
          <w:spacing w:val="0"/>
          <w:sz w:val="32"/>
          <w:szCs w:val="32"/>
          <w:shd w:val="clear" w:color="auto" w:fill="FFFFFF"/>
        </w:rPr>
        <w:t>年，根据年初工作规划和重点性工作，以</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推广公共文化服务为</w:t>
      </w:r>
      <w:r>
        <w:rPr>
          <w:rFonts w:hint="eastAsia" w:ascii="仿宋_GB2312" w:hAnsi="仿宋_GB2312" w:eastAsia="仿宋_GB2312" w:cs="仿宋_GB2312"/>
          <w:b w:val="0"/>
          <w:bCs w:val="0"/>
          <w:i w:val="0"/>
          <w:caps w:val="0"/>
          <w:color w:val="auto"/>
          <w:spacing w:val="0"/>
          <w:sz w:val="32"/>
          <w:szCs w:val="32"/>
          <w:shd w:val="clear" w:color="auto" w:fill="FFFFFF"/>
        </w:rPr>
        <w:t>中心开展工作，较好的完成了年度工作目标。通过加强预算收支管理，不断建立健全内部管理制度，梳理内部管理流程，部门整体支出管理情况得到提升。部门整体支出绩效情况如下：</w:t>
      </w:r>
    </w:p>
    <w:p w14:paraId="4C278C3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3" w:firstLineChars="200"/>
        <w:jc w:val="both"/>
        <w:textAlignment w:val="auto"/>
        <w:rPr>
          <w:rFonts w:hint="eastAsia" w:ascii="楷体" w:hAnsi="楷体" w:eastAsia="楷体" w:cs="楷体"/>
          <w:b/>
          <w:bCs/>
          <w:i w:val="0"/>
          <w:caps w:val="0"/>
          <w:color w:val="auto"/>
          <w:spacing w:val="0"/>
          <w:sz w:val="32"/>
          <w:szCs w:val="32"/>
        </w:rPr>
      </w:pPr>
      <w:r>
        <w:rPr>
          <w:rFonts w:hint="eastAsia" w:ascii="楷体" w:hAnsi="楷体" w:eastAsia="楷体" w:cs="楷体"/>
          <w:b/>
          <w:bCs/>
          <w:i w:val="0"/>
          <w:caps w:val="0"/>
          <w:color w:val="auto"/>
          <w:spacing w:val="0"/>
          <w:sz w:val="32"/>
          <w:szCs w:val="32"/>
          <w:shd w:val="clear" w:color="auto" w:fill="FFFFFF"/>
        </w:rPr>
        <w:t>（一）经济效益评价</w:t>
      </w:r>
    </w:p>
    <w:p w14:paraId="7DC93C6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lang w:eastAsia="zh-CN"/>
        </w:rPr>
      </w:pPr>
      <w:r>
        <w:rPr>
          <w:rFonts w:hint="eastAsia" w:ascii="仿宋_GB2312" w:hAnsi="仿宋_GB2312" w:eastAsia="仿宋_GB2312" w:cs="仿宋_GB2312"/>
          <w:b w:val="0"/>
          <w:bCs w:val="0"/>
          <w:i w:val="0"/>
          <w:caps w:val="0"/>
          <w:color w:val="auto"/>
          <w:spacing w:val="0"/>
          <w:sz w:val="32"/>
          <w:szCs w:val="32"/>
          <w:shd w:val="clear" w:color="auto" w:fill="FFFFFF"/>
        </w:rPr>
        <w:t>1. 预算执行方面，支出总额控制在预算总额以内</w:t>
      </w:r>
      <w:r>
        <w:rPr>
          <w:rFonts w:hint="eastAsia" w:ascii="仿宋_GB2312" w:hAnsi="仿宋_GB2312" w:eastAsia="仿宋_GB2312" w:cs="仿宋_GB2312"/>
          <w:b w:val="0"/>
          <w:bCs w:val="0"/>
          <w:i w:val="0"/>
          <w:caps w:val="0"/>
          <w:color w:val="auto"/>
          <w:spacing w:val="0"/>
          <w:sz w:val="32"/>
          <w:szCs w:val="32"/>
          <w:shd w:val="clear" w:color="auto" w:fill="FFFFFF"/>
          <w:lang w:eastAsia="zh-CN"/>
        </w:rPr>
        <w:t>。</w:t>
      </w:r>
    </w:p>
    <w:p w14:paraId="0C1A13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rPr>
        <w:t>2、预算管理方面，制度执行总体较为有效。</w:t>
      </w:r>
    </w:p>
    <w:p w14:paraId="0EB545F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rPr>
        <w:t>3、资产管理方面，建立了资产管理制度，定期进行了盘点和资产清理，总体执行较好。</w:t>
      </w:r>
    </w:p>
    <w:p w14:paraId="3535A77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3" w:firstLineChars="200"/>
        <w:jc w:val="both"/>
        <w:textAlignment w:val="auto"/>
        <w:rPr>
          <w:rFonts w:hint="eastAsia" w:ascii="楷体" w:hAnsi="楷体" w:eastAsia="楷体" w:cs="楷体"/>
          <w:b/>
          <w:bCs/>
          <w:i w:val="0"/>
          <w:caps w:val="0"/>
          <w:color w:val="auto"/>
          <w:spacing w:val="0"/>
          <w:sz w:val="32"/>
          <w:szCs w:val="32"/>
        </w:rPr>
      </w:pPr>
      <w:r>
        <w:rPr>
          <w:rFonts w:hint="eastAsia" w:ascii="楷体" w:hAnsi="楷体" w:eastAsia="楷体" w:cs="楷体"/>
          <w:b/>
          <w:bCs/>
          <w:i w:val="0"/>
          <w:caps w:val="0"/>
          <w:color w:val="auto"/>
          <w:spacing w:val="0"/>
          <w:sz w:val="32"/>
          <w:szCs w:val="32"/>
          <w:shd w:val="clear" w:color="auto" w:fill="FFFFFF"/>
        </w:rPr>
        <w:t>（二）效率性评价和有效性评价</w:t>
      </w:r>
    </w:p>
    <w:p w14:paraId="14D83C4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rPr>
        <w:t>预算安排的基本支出保障了正常的工作运转，预算安排的项目支出是非常必要的，在执行</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上</w:t>
      </w:r>
      <w:r>
        <w:rPr>
          <w:rFonts w:hint="eastAsia" w:ascii="仿宋_GB2312" w:hAnsi="仿宋_GB2312" w:eastAsia="仿宋_GB2312" w:cs="仿宋_GB2312"/>
          <w:b w:val="0"/>
          <w:bCs w:val="0"/>
          <w:i w:val="0"/>
          <w:caps w:val="0"/>
          <w:color w:val="auto"/>
          <w:spacing w:val="0"/>
          <w:sz w:val="32"/>
          <w:szCs w:val="32"/>
          <w:shd w:val="clear" w:color="auto" w:fill="FFFFFF"/>
        </w:rPr>
        <w:t>严格遵守各项财经纪律，在项目资金的使用上也严守法律底线、纪律底线、道德底线。</w:t>
      </w:r>
    </w:p>
    <w:p w14:paraId="2C43C8F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3" w:firstLineChars="200"/>
        <w:jc w:val="both"/>
        <w:textAlignment w:val="auto"/>
        <w:rPr>
          <w:rFonts w:hint="eastAsia" w:ascii="楷体" w:hAnsi="楷体" w:eastAsia="楷体" w:cs="楷体"/>
          <w:b/>
          <w:bCs/>
          <w:i w:val="0"/>
          <w:caps w:val="0"/>
          <w:color w:val="auto"/>
          <w:spacing w:val="0"/>
          <w:sz w:val="32"/>
          <w:szCs w:val="32"/>
        </w:rPr>
      </w:pPr>
      <w:r>
        <w:rPr>
          <w:rFonts w:hint="eastAsia" w:ascii="楷体" w:hAnsi="楷体" w:eastAsia="楷体" w:cs="楷体"/>
          <w:b/>
          <w:bCs/>
          <w:i w:val="0"/>
          <w:caps w:val="0"/>
          <w:color w:val="auto"/>
          <w:spacing w:val="0"/>
          <w:sz w:val="32"/>
          <w:szCs w:val="32"/>
          <w:shd w:val="clear" w:color="auto" w:fill="FFFFFF"/>
        </w:rPr>
        <w:t>（三）社会公众满意度评价</w:t>
      </w:r>
    </w:p>
    <w:p w14:paraId="4B858DC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lang w:val="en-US" w:eastAsia="zh-CN"/>
        </w:rPr>
      </w:pP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2024</w:t>
      </w:r>
      <w:r>
        <w:rPr>
          <w:rFonts w:hint="eastAsia" w:ascii="仿宋_GB2312" w:hAnsi="仿宋_GB2312" w:eastAsia="仿宋_GB2312" w:cs="仿宋_GB2312"/>
          <w:b w:val="0"/>
          <w:bCs w:val="0"/>
          <w:color w:val="auto"/>
          <w:sz w:val="32"/>
          <w:szCs w:val="32"/>
          <w:lang w:val="en-US" w:eastAsia="zh-CN"/>
        </w:rPr>
        <w:t>美术馆</w:t>
      </w:r>
      <w:r>
        <w:rPr>
          <w:rFonts w:hint="eastAsia" w:ascii="仿宋_GB2312" w:hAnsi="仿宋_GB2312" w:eastAsia="仿宋_GB2312" w:cs="仿宋_GB2312"/>
          <w:b w:val="0"/>
          <w:bCs w:val="0"/>
          <w:color w:val="auto"/>
          <w:sz w:val="32"/>
          <w:szCs w:val="32"/>
        </w:rPr>
        <w:t>通过</w:t>
      </w:r>
      <w:r>
        <w:rPr>
          <w:rFonts w:hint="eastAsia" w:ascii="仿宋_GB2312" w:hAnsi="仿宋_GB2312" w:eastAsia="仿宋_GB2312" w:cs="仿宋_GB2312"/>
          <w:b w:val="0"/>
          <w:bCs w:val="0"/>
          <w:color w:val="auto"/>
          <w:sz w:val="32"/>
          <w:szCs w:val="32"/>
          <w:lang w:val="en-US" w:eastAsia="zh-CN"/>
        </w:rPr>
        <w:t>各个渠道</w:t>
      </w:r>
      <w:r>
        <w:rPr>
          <w:rFonts w:hint="eastAsia" w:ascii="仿宋_GB2312" w:hAnsi="仿宋_GB2312" w:eastAsia="仿宋_GB2312" w:cs="仿宋_GB2312"/>
          <w:b w:val="0"/>
          <w:bCs w:val="0"/>
          <w:color w:val="auto"/>
          <w:sz w:val="32"/>
          <w:szCs w:val="32"/>
        </w:rPr>
        <w:t>宣传普及，我市群众对免费开放工作政策知晓率</w:t>
      </w:r>
      <w:r>
        <w:rPr>
          <w:rFonts w:hint="eastAsia" w:ascii="仿宋_GB2312" w:hAnsi="仿宋_GB2312" w:eastAsia="仿宋_GB2312" w:cs="仿宋_GB2312"/>
          <w:b w:val="0"/>
          <w:bCs w:val="0"/>
          <w:color w:val="auto"/>
          <w:sz w:val="32"/>
          <w:szCs w:val="32"/>
          <w:lang w:val="en-US" w:eastAsia="zh-CN"/>
        </w:rPr>
        <w:t>90</w:t>
      </w:r>
      <w:r>
        <w:rPr>
          <w:rFonts w:hint="eastAsia" w:ascii="仿宋_GB2312" w:hAnsi="仿宋_GB2312" w:eastAsia="仿宋_GB2312" w:cs="仿宋_GB2312"/>
          <w:b w:val="0"/>
          <w:bCs w:val="0"/>
          <w:color w:val="auto"/>
          <w:sz w:val="32"/>
          <w:szCs w:val="32"/>
        </w:rPr>
        <w:t>%，使更多的美术爱好者和群众受到了文化的熏陶，起到了较好的社会效益。</w:t>
      </w:r>
    </w:p>
    <w:p w14:paraId="6455D1B9">
      <w:pPr>
        <w:spacing w:line="60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四、存在的问题</w:t>
      </w:r>
    </w:p>
    <w:p w14:paraId="5BC3D9E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rPr>
        <w:t>1</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w:t>
      </w:r>
      <w:r>
        <w:rPr>
          <w:rFonts w:hint="eastAsia" w:ascii="仿宋_GB2312" w:hAnsi="仿宋_GB2312" w:eastAsia="仿宋_GB2312" w:cs="仿宋_GB2312"/>
          <w:b w:val="0"/>
          <w:bCs w:val="0"/>
          <w:i w:val="0"/>
          <w:caps w:val="0"/>
          <w:color w:val="auto"/>
          <w:spacing w:val="0"/>
          <w:sz w:val="32"/>
          <w:szCs w:val="32"/>
          <w:shd w:val="clear" w:color="auto" w:fill="FFFFFF"/>
        </w:rPr>
        <w:t>行业管理还</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不够细化</w:t>
      </w:r>
      <w:r>
        <w:rPr>
          <w:rFonts w:hint="eastAsia" w:ascii="仿宋_GB2312" w:hAnsi="仿宋_GB2312" w:eastAsia="仿宋_GB2312" w:cs="仿宋_GB2312"/>
          <w:b w:val="0"/>
          <w:bCs w:val="0"/>
          <w:i w:val="0"/>
          <w:caps w:val="0"/>
          <w:color w:val="auto"/>
          <w:spacing w:val="0"/>
          <w:sz w:val="32"/>
          <w:szCs w:val="32"/>
          <w:shd w:val="clear" w:color="auto" w:fill="FFFFFF"/>
          <w:lang w:eastAsia="zh-CN"/>
        </w:rPr>
        <w:t>，</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还在不断学习</w:t>
      </w:r>
      <w:r>
        <w:rPr>
          <w:rFonts w:hint="eastAsia" w:ascii="仿宋_GB2312" w:hAnsi="仿宋_GB2312" w:eastAsia="仿宋_GB2312" w:cs="仿宋_GB2312"/>
          <w:b w:val="0"/>
          <w:bCs w:val="0"/>
          <w:i w:val="0"/>
          <w:caps w:val="0"/>
          <w:color w:val="auto"/>
          <w:spacing w:val="0"/>
          <w:sz w:val="32"/>
          <w:szCs w:val="32"/>
          <w:shd w:val="clear" w:color="auto" w:fill="FFFFFF"/>
        </w:rPr>
        <w:t>。</w:t>
      </w:r>
    </w:p>
    <w:p w14:paraId="67AAFC1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default" w:ascii="仿宋_GB2312" w:hAnsi="仿宋_GB2312" w:eastAsia="仿宋_GB2312" w:cs="仿宋_GB2312"/>
          <w:b w:val="0"/>
          <w:bCs w:val="0"/>
          <w:i w:val="0"/>
          <w:caps w:val="0"/>
          <w:color w:val="auto"/>
          <w:spacing w:val="0"/>
          <w:sz w:val="32"/>
          <w:szCs w:val="32"/>
          <w:lang w:val="en-US" w:eastAsia="zh-CN"/>
        </w:rPr>
      </w:pP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2.绩效管理工作开展的不够细致。</w:t>
      </w:r>
    </w:p>
    <w:p w14:paraId="6860F4E3">
      <w:pPr>
        <w:spacing w:line="60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五、下一步改进工作的措施</w:t>
      </w:r>
    </w:p>
    <w:p w14:paraId="3897E73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rPr>
      </w:pPr>
      <w:bookmarkStart w:id="3" w:name="六、主要经验及做法"/>
      <w:bookmarkEnd w:id="3"/>
      <w:bookmarkStart w:id="4" w:name="七、其他需说明的情况"/>
      <w:bookmarkEnd w:id="4"/>
      <w:r>
        <w:rPr>
          <w:rFonts w:hint="eastAsia" w:ascii="仿宋_GB2312" w:hAnsi="仿宋_GB2312" w:eastAsia="仿宋_GB2312" w:cs="仿宋_GB2312"/>
          <w:b w:val="0"/>
          <w:bCs w:val="0"/>
          <w:i w:val="0"/>
          <w:caps w:val="0"/>
          <w:color w:val="auto"/>
          <w:spacing w:val="0"/>
          <w:sz w:val="32"/>
          <w:szCs w:val="32"/>
          <w:shd w:val="clear" w:color="auto" w:fill="FFFFFF"/>
        </w:rPr>
        <w:t>针对上述存在的问题及整体支出管理工作的需要，拟实施的改进措施如下：</w:t>
      </w:r>
    </w:p>
    <w:p w14:paraId="539B526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rPr>
        <w:t>1、继续从严控制</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公用经费</w:t>
      </w:r>
      <w:r>
        <w:rPr>
          <w:rFonts w:hint="eastAsia" w:ascii="仿宋_GB2312" w:hAnsi="仿宋_GB2312" w:eastAsia="仿宋_GB2312" w:cs="仿宋_GB2312"/>
          <w:b w:val="0"/>
          <w:bCs w:val="0"/>
          <w:i w:val="0"/>
          <w:caps w:val="0"/>
          <w:color w:val="auto"/>
          <w:spacing w:val="0"/>
          <w:sz w:val="32"/>
          <w:szCs w:val="32"/>
          <w:shd w:val="clear" w:color="auto" w:fill="FFFFFF"/>
        </w:rPr>
        <w:t>等一般性支出。</w:t>
      </w:r>
    </w:p>
    <w:p w14:paraId="7CC661F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rPr>
        <w:t>2、加强财务管理，严格财务审核。在费用报账支付时，按照预算规定的费用项目和用途进行资金使用审核、列报支付、财务核算，杜绝超支现象的发生。</w:t>
      </w:r>
    </w:p>
    <w:p w14:paraId="65BB1EB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color="auto" w:fill="FFFFFF"/>
        </w:rPr>
      </w:pPr>
      <w:r>
        <w:rPr>
          <w:rFonts w:hint="eastAsia" w:ascii="仿宋_GB2312" w:hAnsi="仿宋_GB2312" w:eastAsia="仿宋_GB2312" w:cs="仿宋_GB2312"/>
          <w:b w:val="0"/>
          <w:bCs w:val="0"/>
          <w:i w:val="0"/>
          <w:caps w:val="0"/>
          <w:color w:val="auto"/>
          <w:spacing w:val="0"/>
          <w:sz w:val="32"/>
          <w:szCs w:val="32"/>
          <w:shd w:val="clear" w:color="auto" w:fill="FFFFFF"/>
        </w:rPr>
        <w:t>3、加强项目开展进度的跟踪，开展项目绩效</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监控、</w:t>
      </w:r>
      <w:r>
        <w:rPr>
          <w:rFonts w:hint="eastAsia" w:ascii="仿宋_GB2312" w:hAnsi="仿宋_GB2312" w:eastAsia="仿宋_GB2312" w:cs="仿宋_GB2312"/>
          <w:b w:val="0"/>
          <w:bCs w:val="0"/>
          <w:i w:val="0"/>
          <w:caps w:val="0"/>
          <w:color w:val="auto"/>
          <w:spacing w:val="0"/>
          <w:sz w:val="32"/>
          <w:szCs w:val="32"/>
          <w:shd w:val="clear" w:color="auto" w:fill="FFFFFF"/>
        </w:rPr>
        <w:t>评价，确保项目绩效目标的完成。</w:t>
      </w:r>
    </w:p>
    <w:p w14:paraId="26C2393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color="auto" w:fill="FFFFFF"/>
        </w:rPr>
      </w:pPr>
    </w:p>
    <w:p w14:paraId="47F3DB8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color="auto" w:fill="FFFFFF"/>
        </w:rPr>
      </w:pPr>
    </w:p>
    <w:p w14:paraId="3CB03F2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right="0"/>
        <w:jc w:val="both"/>
        <w:textAlignment w:val="auto"/>
        <w:rPr>
          <w:rFonts w:hint="eastAsia" w:ascii="仿宋_GB2312" w:hAnsi="仿宋_GB2312" w:eastAsia="仿宋_GB2312" w:cs="仿宋_GB2312"/>
          <w:b w:val="0"/>
          <w:bCs w:val="0"/>
          <w:i w:val="0"/>
          <w:caps w:val="0"/>
          <w:color w:val="auto"/>
          <w:spacing w:val="0"/>
          <w:sz w:val="32"/>
          <w:szCs w:val="32"/>
          <w:shd w:val="clear" w:color="auto" w:fill="FFFFFF"/>
        </w:rPr>
      </w:pPr>
    </w:p>
    <w:p w14:paraId="210D591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color="auto" w:fill="FFFFFF"/>
        </w:rPr>
      </w:pPr>
    </w:p>
    <w:p w14:paraId="1784889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3520" w:firstLineChars="1100"/>
        <w:jc w:val="both"/>
        <w:textAlignment w:val="auto"/>
        <w:rPr>
          <w:rFonts w:hint="eastAsia" w:ascii="仿宋_GB2312" w:hAnsi="仿宋_GB2312" w:eastAsia="仿宋_GB2312" w:cs="仿宋_GB2312"/>
          <w:b w:val="0"/>
          <w:bCs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张掖书画院（张掖市美术馆）</w:t>
      </w:r>
    </w:p>
    <w:p w14:paraId="3EDC842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20" w:lineRule="atLeast"/>
        <w:ind w:left="0" w:right="0" w:firstLine="4160" w:firstLineChars="1300"/>
        <w:jc w:val="both"/>
        <w:textAlignment w:val="auto"/>
        <w:rPr>
          <w:rFonts w:hint="default" w:ascii="仿宋_GB2312" w:hAnsi="仿宋_GB2312" w:eastAsia="仿宋_GB2312" w:cs="仿宋_GB2312"/>
          <w:b w:val="0"/>
          <w:bCs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2025年3月5日</w:t>
      </w:r>
    </w:p>
    <w:p w14:paraId="42740F89">
      <w:pPr>
        <w:spacing w:line="600" w:lineRule="exact"/>
        <w:ind w:firstLine="616" w:firstLineChars="200"/>
        <w:rPr>
          <w:rFonts w:hint="eastAsia" w:ascii="仿宋_GB2312" w:hAnsi="仿宋_GB2312" w:eastAsia="仿宋_GB2312" w:cs="仿宋_GB2312"/>
          <w:spacing w:val="-6"/>
          <w:sz w:val="32"/>
          <w:szCs w:val="32"/>
          <w:lang w:eastAsia="zh-CN"/>
        </w:rPr>
      </w:pPr>
    </w:p>
    <w:p w14:paraId="565D7704">
      <w:pPr>
        <w:keepNext w:val="0"/>
        <w:keepLines w:val="0"/>
        <w:pageBreakBefore w:val="0"/>
        <w:kinsoku/>
        <w:wordWrap/>
        <w:overflowPunct/>
        <w:topLinePunct w:val="0"/>
        <w:autoSpaceDE/>
        <w:autoSpaceDN/>
        <w:bidi w:val="0"/>
        <w:adjustRightInd w:val="0"/>
        <w:snapToGrid w:val="0"/>
        <w:spacing w:line="580" w:lineRule="atLeast"/>
        <w:textAlignment w:val="auto"/>
        <w:rPr>
          <w:rFonts w:hint="eastAsia"/>
        </w:rPr>
      </w:pPr>
    </w:p>
    <w:p w14:paraId="53DE40FD">
      <w:pPr>
        <w:keepNext w:val="0"/>
        <w:keepLines w:val="0"/>
        <w:pageBreakBefore w:val="0"/>
        <w:kinsoku/>
        <w:wordWrap/>
        <w:overflowPunct/>
        <w:topLinePunct w:val="0"/>
        <w:autoSpaceDE/>
        <w:autoSpaceDN/>
        <w:bidi w:val="0"/>
        <w:adjustRightInd w:val="0"/>
        <w:snapToGrid w:val="0"/>
        <w:spacing w:line="580" w:lineRule="atLeast"/>
        <w:textAlignment w:val="auto"/>
        <w:rPr>
          <w:rFonts w:hint="eastAsia"/>
        </w:rPr>
      </w:pPr>
    </w:p>
    <w:p w14:paraId="3DC5CCF6">
      <w:pPr>
        <w:keepNext w:val="0"/>
        <w:keepLines w:val="0"/>
        <w:pageBreakBefore w:val="0"/>
        <w:widowControl w:val="0"/>
        <w:kinsoku/>
        <w:wordWrap/>
        <w:overflowPunct/>
        <w:topLinePunct w:val="0"/>
        <w:autoSpaceDE/>
        <w:autoSpaceDN/>
        <w:bidi w:val="0"/>
        <w:adjustRightInd w:val="0"/>
        <w:snapToGrid w:val="0"/>
        <w:spacing w:line="580" w:lineRule="atLeast"/>
        <w:ind w:left="0" w:leftChars="0" w:right="0" w:rightChars="0"/>
        <w:textAlignment w:val="auto"/>
        <w:outlineLvl w:val="9"/>
        <w:rPr>
          <w:rFonts w:hint="eastAsia"/>
          <w:lang w:val="en-US" w:eastAsia="zh-CN"/>
        </w:rPr>
      </w:pPr>
    </w:p>
    <w:sectPr>
      <w:pgSz w:w="11906" w:h="16838"/>
      <w:pgMar w:top="2224" w:right="1499"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FSJ-PK7482000000a-Identity-H">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5E1A5C"/>
    <w:multiLevelType w:val="singleLevel"/>
    <w:tmpl w:val="A75E1A5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yYTg5ODgyM2M2NTViY2MyNzRkMzU3ZWU1MjRmYTMifQ=="/>
    <w:docVar w:name="KSO_WPS_MARK_KEY" w:val="87462c03-886a-4d97-95f3-a099ecabe261"/>
  </w:docVars>
  <w:rsids>
    <w:rsidRoot w:val="00000000"/>
    <w:rsid w:val="002A1094"/>
    <w:rsid w:val="01AA1C40"/>
    <w:rsid w:val="01FA57B6"/>
    <w:rsid w:val="02E363BF"/>
    <w:rsid w:val="03C41D43"/>
    <w:rsid w:val="03E768CC"/>
    <w:rsid w:val="04493FFE"/>
    <w:rsid w:val="058A4223"/>
    <w:rsid w:val="05CA2897"/>
    <w:rsid w:val="05EA0643"/>
    <w:rsid w:val="05ED0EEB"/>
    <w:rsid w:val="06287C42"/>
    <w:rsid w:val="06360877"/>
    <w:rsid w:val="06864B93"/>
    <w:rsid w:val="06EC2C01"/>
    <w:rsid w:val="07251480"/>
    <w:rsid w:val="07281363"/>
    <w:rsid w:val="07E6312F"/>
    <w:rsid w:val="08626F38"/>
    <w:rsid w:val="089A003C"/>
    <w:rsid w:val="08FB3FAE"/>
    <w:rsid w:val="09614609"/>
    <w:rsid w:val="09874E27"/>
    <w:rsid w:val="0A01227A"/>
    <w:rsid w:val="0A062D38"/>
    <w:rsid w:val="0A2F1479"/>
    <w:rsid w:val="0A917CCA"/>
    <w:rsid w:val="0ACF1AB9"/>
    <w:rsid w:val="0B4E4CDA"/>
    <w:rsid w:val="0CF13C70"/>
    <w:rsid w:val="0D2D5B58"/>
    <w:rsid w:val="0D8A3722"/>
    <w:rsid w:val="0E06391C"/>
    <w:rsid w:val="0E8C62B1"/>
    <w:rsid w:val="0E905B79"/>
    <w:rsid w:val="0F2260A6"/>
    <w:rsid w:val="0FA82C91"/>
    <w:rsid w:val="10103B81"/>
    <w:rsid w:val="10686511"/>
    <w:rsid w:val="107A5DFE"/>
    <w:rsid w:val="12637F1F"/>
    <w:rsid w:val="12B95E59"/>
    <w:rsid w:val="12D32984"/>
    <w:rsid w:val="12FC55E4"/>
    <w:rsid w:val="13BF559D"/>
    <w:rsid w:val="14001FDA"/>
    <w:rsid w:val="147321EF"/>
    <w:rsid w:val="149D1C47"/>
    <w:rsid w:val="151B08BC"/>
    <w:rsid w:val="15B14FA1"/>
    <w:rsid w:val="162B450D"/>
    <w:rsid w:val="164D0001"/>
    <w:rsid w:val="17F2233A"/>
    <w:rsid w:val="184748D9"/>
    <w:rsid w:val="19717795"/>
    <w:rsid w:val="1999460A"/>
    <w:rsid w:val="19B66144"/>
    <w:rsid w:val="19FD492F"/>
    <w:rsid w:val="1A1E35AF"/>
    <w:rsid w:val="1A567B48"/>
    <w:rsid w:val="1BAF6330"/>
    <w:rsid w:val="1CC641D4"/>
    <w:rsid w:val="1DCC2471"/>
    <w:rsid w:val="1DF378DF"/>
    <w:rsid w:val="1E6F3F54"/>
    <w:rsid w:val="1EC70B52"/>
    <w:rsid w:val="1ECC5FF7"/>
    <w:rsid w:val="1F704D24"/>
    <w:rsid w:val="1F861B32"/>
    <w:rsid w:val="20825C93"/>
    <w:rsid w:val="21443FAD"/>
    <w:rsid w:val="21BD17C3"/>
    <w:rsid w:val="21FC6EED"/>
    <w:rsid w:val="220F3383"/>
    <w:rsid w:val="22981C81"/>
    <w:rsid w:val="2329650C"/>
    <w:rsid w:val="23582CDC"/>
    <w:rsid w:val="256632AD"/>
    <w:rsid w:val="262B2929"/>
    <w:rsid w:val="28A31B41"/>
    <w:rsid w:val="2A041B9C"/>
    <w:rsid w:val="2AD96DF8"/>
    <w:rsid w:val="2B6830E6"/>
    <w:rsid w:val="2BD60548"/>
    <w:rsid w:val="2BE15E1F"/>
    <w:rsid w:val="2BE21720"/>
    <w:rsid w:val="2D013D5B"/>
    <w:rsid w:val="2D84476A"/>
    <w:rsid w:val="2DDC652D"/>
    <w:rsid w:val="2EC60F52"/>
    <w:rsid w:val="2ECE29F8"/>
    <w:rsid w:val="2FC4234D"/>
    <w:rsid w:val="300E0987"/>
    <w:rsid w:val="307E2C2C"/>
    <w:rsid w:val="31213480"/>
    <w:rsid w:val="31AF1497"/>
    <w:rsid w:val="32272D87"/>
    <w:rsid w:val="32497255"/>
    <w:rsid w:val="33814122"/>
    <w:rsid w:val="36215C74"/>
    <w:rsid w:val="365D6F26"/>
    <w:rsid w:val="377B1E52"/>
    <w:rsid w:val="378A6F23"/>
    <w:rsid w:val="37D20466"/>
    <w:rsid w:val="37EC63D7"/>
    <w:rsid w:val="37F51C38"/>
    <w:rsid w:val="380B5439"/>
    <w:rsid w:val="384D280F"/>
    <w:rsid w:val="39862E36"/>
    <w:rsid w:val="3A8A77C7"/>
    <w:rsid w:val="3ABE6E5E"/>
    <w:rsid w:val="3B6C17D5"/>
    <w:rsid w:val="3C062385"/>
    <w:rsid w:val="3C4767F6"/>
    <w:rsid w:val="3D71681A"/>
    <w:rsid w:val="3D7A3AAA"/>
    <w:rsid w:val="3D8212C4"/>
    <w:rsid w:val="3DB93DDF"/>
    <w:rsid w:val="3DF17B5D"/>
    <w:rsid w:val="3E0F0842"/>
    <w:rsid w:val="3E9D13B9"/>
    <w:rsid w:val="3EE16496"/>
    <w:rsid w:val="3FBB0554"/>
    <w:rsid w:val="3FC217B1"/>
    <w:rsid w:val="3FD50132"/>
    <w:rsid w:val="40D13CB8"/>
    <w:rsid w:val="41D21564"/>
    <w:rsid w:val="426F6DFF"/>
    <w:rsid w:val="42D701F3"/>
    <w:rsid w:val="453461D6"/>
    <w:rsid w:val="458110ED"/>
    <w:rsid w:val="464B3882"/>
    <w:rsid w:val="46BE248A"/>
    <w:rsid w:val="47517D0D"/>
    <w:rsid w:val="47B9432E"/>
    <w:rsid w:val="480D5731"/>
    <w:rsid w:val="49B76BF2"/>
    <w:rsid w:val="4A642682"/>
    <w:rsid w:val="4B1B0FCD"/>
    <w:rsid w:val="4B943EF8"/>
    <w:rsid w:val="4BF076A6"/>
    <w:rsid w:val="4C505FC5"/>
    <w:rsid w:val="4CBB5946"/>
    <w:rsid w:val="4CCC57D3"/>
    <w:rsid w:val="4DCA31AF"/>
    <w:rsid w:val="4E0328C9"/>
    <w:rsid w:val="4E666CE2"/>
    <w:rsid w:val="4EE63867"/>
    <w:rsid w:val="4F0456F0"/>
    <w:rsid w:val="500D785D"/>
    <w:rsid w:val="50560CFF"/>
    <w:rsid w:val="505D6050"/>
    <w:rsid w:val="506F079F"/>
    <w:rsid w:val="514466D2"/>
    <w:rsid w:val="514C35D0"/>
    <w:rsid w:val="520A7484"/>
    <w:rsid w:val="52970E11"/>
    <w:rsid w:val="5298455A"/>
    <w:rsid w:val="529E3B34"/>
    <w:rsid w:val="52D76CB2"/>
    <w:rsid w:val="534272D7"/>
    <w:rsid w:val="53CF57AC"/>
    <w:rsid w:val="55335012"/>
    <w:rsid w:val="554A1B6A"/>
    <w:rsid w:val="5579070C"/>
    <w:rsid w:val="55D74448"/>
    <w:rsid w:val="55EF09CE"/>
    <w:rsid w:val="5611431D"/>
    <w:rsid w:val="56E147A6"/>
    <w:rsid w:val="58752051"/>
    <w:rsid w:val="587720B8"/>
    <w:rsid w:val="59A2009B"/>
    <w:rsid w:val="5B8B1199"/>
    <w:rsid w:val="5BF6351C"/>
    <w:rsid w:val="5C197893"/>
    <w:rsid w:val="5C50287E"/>
    <w:rsid w:val="5C690C9F"/>
    <w:rsid w:val="5CF615B6"/>
    <w:rsid w:val="5D454ECA"/>
    <w:rsid w:val="5DE2305B"/>
    <w:rsid w:val="5E451A5F"/>
    <w:rsid w:val="5E521065"/>
    <w:rsid w:val="5E7B54F5"/>
    <w:rsid w:val="5E9C4CD6"/>
    <w:rsid w:val="5EB71CFF"/>
    <w:rsid w:val="5F3073A8"/>
    <w:rsid w:val="5F3B73F0"/>
    <w:rsid w:val="60FF7333"/>
    <w:rsid w:val="61A061E5"/>
    <w:rsid w:val="61CA49DC"/>
    <w:rsid w:val="62801200"/>
    <w:rsid w:val="62CB4670"/>
    <w:rsid w:val="631D48FC"/>
    <w:rsid w:val="63293771"/>
    <w:rsid w:val="64B17F96"/>
    <w:rsid w:val="64D47BE8"/>
    <w:rsid w:val="65C15EE3"/>
    <w:rsid w:val="65ED58D4"/>
    <w:rsid w:val="66117618"/>
    <w:rsid w:val="66495110"/>
    <w:rsid w:val="676E07CA"/>
    <w:rsid w:val="67735F63"/>
    <w:rsid w:val="679261A8"/>
    <w:rsid w:val="67AB3FD8"/>
    <w:rsid w:val="67AC3E56"/>
    <w:rsid w:val="67AE3334"/>
    <w:rsid w:val="67DF08A2"/>
    <w:rsid w:val="67F90FDB"/>
    <w:rsid w:val="68297312"/>
    <w:rsid w:val="69A4370E"/>
    <w:rsid w:val="69F430F7"/>
    <w:rsid w:val="6A2A73D7"/>
    <w:rsid w:val="6A671307"/>
    <w:rsid w:val="6B064337"/>
    <w:rsid w:val="6B0C46D1"/>
    <w:rsid w:val="6C3D6AFF"/>
    <w:rsid w:val="6C4F4F51"/>
    <w:rsid w:val="6C820DEE"/>
    <w:rsid w:val="6CA80EBB"/>
    <w:rsid w:val="6CBB0DA7"/>
    <w:rsid w:val="6CF0262B"/>
    <w:rsid w:val="6D203E37"/>
    <w:rsid w:val="6D4A6669"/>
    <w:rsid w:val="6D8B3617"/>
    <w:rsid w:val="6E486D7B"/>
    <w:rsid w:val="6E6935BC"/>
    <w:rsid w:val="6E8222E1"/>
    <w:rsid w:val="6E914A23"/>
    <w:rsid w:val="6EF94EED"/>
    <w:rsid w:val="6F840E63"/>
    <w:rsid w:val="710B6386"/>
    <w:rsid w:val="715E3EEB"/>
    <w:rsid w:val="719A1B9E"/>
    <w:rsid w:val="72236E6C"/>
    <w:rsid w:val="737975A5"/>
    <w:rsid w:val="74423071"/>
    <w:rsid w:val="748D0000"/>
    <w:rsid w:val="74CA305A"/>
    <w:rsid w:val="74FA14DA"/>
    <w:rsid w:val="75F4341E"/>
    <w:rsid w:val="776B4645"/>
    <w:rsid w:val="77822FF8"/>
    <w:rsid w:val="787B47EB"/>
    <w:rsid w:val="79A742A0"/>
    <w:rsid w:val="7A542C4E"/>
    <w:rsid w:val="7A694186"/>
    <w:rsid w:val="7AA072CC"/>
    <w:rsid w:val="7BFC152D"/>
    <w:rsid w:val="7C134FD9"/>
    <w:rsid w:val="7C335646"/>
    <w:rsid w:val="7C9810C4"/>
    <w:rsid w:val="7D4A6438"/>
    <w:rsid w:val="7D5A4996"/>
    <w:rsid w:val="7D671340"/>
    <w:rsid w:val="7D692C90"/>
    <w:rsid w:val="7EC867AC"/>
    <w:rsid w:val="7ED37F2A"/>
    <w:rsid w:val="7F552259"/>
    <w:rsid w:val="7FD4582E"/>
    <w:rsid w:val="7FFD219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autoRedefine/>
    <w:qFormat/>
    <w:uiPriority w:val="9"/>
    <w:pPr>
      <w:spacing w:beforeAutospacing="1" w:afterAutospacing="1"/>
      <w:jc w:val="left"/>
      <w:outlineLvl w:val="1"/>
    </w:pPr>
    <w:rPr>
      <w:rFonts w:ascii="宋体" w:hAnsi="宋体"/>
      <w:b/>
      <w:kern w:val="0"/>
      <w:sz w:val="36"/>
      <w:szCs w:val="36"/>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4">
    <w:name w:val="index 6"/>
    <w:basedOn w:val="1"/>
    <w:next w:val="1"/>
    <w:autoRedefine/>
    <w:qFormat/>
    <w:uiPriority w:val="0"/>
    <w:pPr>
      <w:widowControl w:val="0"/>
      <w:spacing w:line="540" w:lineRule="exact"/>
      <w:ind w:firstLine="640" w:firstLineChars="200"/>
      <w:jc w:val="both"/>
    </w:pPr>
    <w:rPr>
      <w:rFonts w:ascii="仿宋_GB2312" w:hAnsi="仿宋_GB2312" w:eastAsia="仿宋_GB2312" w:cs="仿宋_GB2312"/>
      <w:kern w:val="2"/>
      <w:sz w:val="32"/>
      <w:szCs w:val="32"/>
      <w:lang w:val="en-US" w:eastAsia="zh-CN" w:bidi="ar-SA"/>
    </w:rPr>
  </w:style>
  <w:style w:type="paragraph" w:styleId="5">
    <w:name w:val="Body Text"/>
    <w:basedOn w:val="1"/>
    <w:autoRedefine/>
    <w:qFormat/>
    <w:uiPriority w:val="0"/>
    <w:pPr>
      <w:widowControl/>
      <w:adjustRightInd w:val="0"/>
      <w:snapToGrid w:val="0"/>
      <w:spacing w:line="360" w:lineRule="auto"/>
    </w:pPr>
    <w:rPr>
      <w:rFonts w:ascii="仿宋_GB2312" w:hAnsi="宋体" w:eastAsia="仿宋_GB2312"/>
      <w:kern w:val="0"/>
      <w:sz w:val="28"/>
    </w:rPr>
  </w:style>
  <w:style w:type="paragraph" w:styleId="6">
    <w:name w:val="toc 3"/>
    <w:basedOn w:val="1"/>
    <w:next w:val="1"/>
    <w:autoRedefine/>
    <w:qFormat/>
    <w:uiPriority w:val="39"/>
    <w:pPr>
      <w:ind w:left="840" w:leftChars="400"/>
    </w:pPr>
  </w:style>
  <w:style w:type="paragraph" w:styleId="7">
    <w:name w:val="Body Text Indent 2"/>
    <w:basedOn w:val="1"/>
    <w:autoRedefine/>
    <w:qFormat/>
    <w:uiPriority w:val="0"/>
    <w:pPr>
      <w:spacing w:line="480" w:lineRule="auto"/>
      <w:ind w:left="420" w:leftChars="200"/>
    </w:pPr>
    <w:rPr>
      <w:rFonts w:ascii="Calibri" w:hAnsi="Calibri" w:eastAsia="宋体" w:cs="Times New Roman"/>
      <w:szCs w:val="21"/>
    </w:rPr>
  </w:style>
  <w:style w:type="paragraph" w:styleId="8">
    <w:name w:val="footer"/>
    <w:basedOn w:val="1"/>
    <w:autoRedefine/>
    <w:qFormat/>
    <w:uiPriority w:val="0"/>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character" w:styleId="13">
    <w:name w:val="Strong"/>
    <w:basedOn w:val="12"/>
    <w:autoRedefine/>
    <w:qFormat/>
    <w:uiPriority w:val="22"/>
    <w:rPr>
      <w:b/>
    </w:rPr>
  </w:style>
  <w:style w:type="character" w:styleId="14">
    <w:name w:val="page number"/>
    <w:basedOn w:val="12"/>
    <w:autoRedefine/>
    <w:qFormat/>
    <w:uiPriority w:val="0"/>
  </w:style>
  <w:style w:type="paragraph" w:styleId="15">
    <w:name w:val="List Paragraph"/>
    <w:basedOn w:val="1"/>
    <w:autoRedefine/>
    <w:qFormat/>
    <w:uiPriority w:val="99"/>
    <w:pPr>
      <w:ind w:firstLine="420" w:firstLineChars="200"/>
    </w:pPr>
  </w:style>
  <w:style w:type="paragraph" w:customStyle="1" w:styleId="16">
    <w:name w:val="No Spacing"/>
    <w:autoRedefine/>
    <w:qFormat/>
    <w:uiPriority w:val="0"/>
    <w:pPr>
      <w:ind w:firstLine="200" w:firstLineChars="200"/>
    </w:pPr>
    <w:rPr>
      <w:rFonts w:ascii="Times New Roman" w:hAnsi="Times New Roman" w:eastAsia="仿宋_GB2312" w:cs="Times New Roman"/>
      <w:sz w:val="30"/>
      <w:szCs w:val="22"/>
      <w:lang w:val="en-US" w:eastAsia="zh-CN" w:bidi="ar-SA"/>
    </w:rPr>
  </w:style>
  <w:style w:type="paragraph" w:customStyle="1" w:styleId="17">
    <w:name w:val="p0"/>
    <w:basedOn w:val="1"/>
    <w:autoRedefine/>
    <w:qFormat/>
    <w:uiPriority w:val="0"/>
    <w:pPr>
      <w:widowControl/>
      <w:jc w:val="left"/>
    </w:pPr>
    <w:rPr>
      <w:rFonts w:eastAsia="宋体"/>
      <w:kern w:val="0"/>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2360</Words>
  <Characters>2465</Characters>
  <Lines>0</Lines>
  <Paragraphs>0</Paragraphs>
  <TotalTime>9</TotalTime>
  <ScaleCrop>false</ScaleCrop>
  <LinksUpToDate>false</LinksUpToDate>
  <CharactersWithSpaces>2484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SHY02</dc:creator>
  <cp:lastModifiedBy>EveR★FOR</cp:lastModifiedBy>
  <cp:lastPrinted>2022-11-23T08:41:00Z</cp:lastPrinted>
  <dcterms:modified xsi:type="dcterms:W3CDTF">2025-09-01T03:17:50Z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741E0B81581545FD92D6CFA3AEF1932D</vt:lpwstr>
  </property>
  <property fmtid="{D5CDD505-2E9C-101B-9397-08002B2CF9AE}" pid="4" name="KSOTemplateDocerSaveRecord">
    <vt:lpwstr>eyJoZGlkIjoiZjgyYTg5ODgyM2M2NTViY2MyNzRkMzU3ZWU1MjRmYTMiLCJ1c2VySWQiOiIxOTQxMjA0NDIifQ==</vt:lpwstr>
  </property>
</Properties>
</file>